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200"/>
        <w:jc w:val="center"/>
      </w:pPr>
      <w:r>
        <w:rPr>
          <w:rFonts w:ascii="Noto Serif" w:hAnsi="Noto Serif"/>
          <w:b w:val="0"/>
          <w:i w:val="0"/>
          <w:sz w:val="50"/>
        </w:rPr>
        <w:t>Bṛhadāraṇyaka Upaniṣad</w:t>
      </w:r>
    </w:p>
    <w:p>
      <w:pPr>
        <w:spacing w:before="0" w:after="520"/>
        <w:jc w:val="center"/>
      </w:pPr>
      <w:r>
        <w:rPr>
          <w:rFonts w:ascii="Noto Serif" w:hAnsi="Noto Serif"/>
          <w:b w:val="0"/>
          <w:i/>
          <w:sz w:val="28"/>
        </w:rPr>
        <w:t>III.2 · La atadura, la muerte y la liberación</w:t>
      </w:r>
    </w:p>
    <w:p>
      <w:pPr>
        <w:spacing w:before="0" w:after="200"/>
        <w:jc w:val="center"/>
      </w:pPr>
      <w:r>
        <w:rPr>
          <w:rFonts w:ascii="Noto Serif" w:hAnsi="Noto Serif"/>
          <w:b w:val="0"/>
          <w:i w:val="0"/>
          <w:sz w:val="23"/>
        </w:rPr>
        <w:t>Texto de la Upaniṣad y comentario de Śaṅkara</w:t>
      </w:r>
    </w:p>
    <w:p>
      <w:pPr>
        <w:spacing w:before="0" w:after="0"/>
        <w:jc w:val="center"/>
      </w:pPr>
      <w:r>
        <w:rPr>
          <w:rFonts w:ascii="Noto Serif" w:hAnsi="Noto Serif"/>
          <w:b w:val="0"/>
          <w:i w:val="0"/>
          <w:sz w:val="21"/>
        </w:rPr>
        <w:t>Edición de Consuelo Martín · Trotta, 2002</w:t>
      </w:r>
    </w:p>
    <w:p>
      <w:pPr>
        <w:spacing w:before="0" w:after="0"/>
        <w:jc w:val="center"/>
      </w:pPr>
      <w:r>
        <w:rPr>
          <w:rFonts w:ascii="Noto Serif" w:hAnsi="Noto Serif"/>
          <w:b w:val="0"/>
          <w:i/>
          <w:sz w:val="21"/>
        </w:rPr>
        <w:t>Normalización de trabajo</w:t>
      </w:r>
    </w:p>
    <w:p>
      <w:pPr>
        <w:spacing w:before="0" w:after="0"/>
      </w:pPr>
      <w:r>
        <w:rPr/>
        <w:t/>
      </w:r>
    </w:p>
    <w:p>
      <w:pPr>
        <w:spacing w:before="80" w:after="180"/>
        <w:jc w:val="center"/>
      </w:pPr>
      <w:r>
        <w:rPr>
          <w:rFonts w:ascii="Noto Serif" w:hAnsi="Noto Serif"/>
          <w:b w:val="0"/>
          <w:i w:val="0"/>
          <w:sz w:val="22"/>
        </w:rPr>
        <w:t>SEGUNDO LIBRO · YĀJÑAVALKYA</w:t>
      </w:r>
    </w:p>
    <w:p>
      <w:pPr>
        <w:spacing w:before="0" w:after="160"/>
        <w:jc w:val="center"/>
      </w:pPr>
      <w:r>
        <w:rPr>
          <w:rFonts w:ascii="Noto Serif" w:hAnsi="Noto Serif"/>
          <w:b w:val="0"/>
          <w:i w:val="0"/>
          <w:sz w:val="30"/>
        </w:rPr>
        <w:t>TERCER ADHYĀYA</w:t>
      </w:r>
    </w:p>
    <w:p>
      <w:pPr>
        <w:spacing w:before="0" w:after="120"/>
        <w:jc w:val="center"/>
      </w:pPr>
      <w:r>
        <w:rPr>
          <w:rFonts w:ascii="Noto Serif" w:hAnsi="Noto Serif"/>
          <w:b w:val="0"/>
          <w:i w:val="0"/>
          <w:sz w:val="23"/>
        </w:rPr>
        <w:t>SEGUNDO BRĀHMAṆA</w:t>
      </w:r>
    </w:p>
    <w:p>
      <w:pPr>
        <w:spacing w:before="0" w:after="300"/>
        <w:jc w:val="center"/>
      </w:pPr>
      <w:r>
        <w:rPr>
          <w:rFonts w:ascii="Noto Serif" w:hAnsi="Noto Serif"/>
          <w:b w:val="0"/>
          <w:i w:val="0"/>
          <w:sz w:val="27"/>
        </w:rPr>
        <w:t>LA ATADURA, LA MUERTE Y LA LIBERACIÓN</w:t>
      </w:r>
    </w:p>
    <w:p>
      <w:pPr>
        <w:spacing w:before="0" w:after="140" w:line="278" w:lineRule="auto"/>
        <w:ind w:firstLine="317"/>
      </w:pPr>
      <w:r>
        <w:rPr>
          <w:rFonts w:ascii="Noto Serif" w:hAnsi="Noto Serif"/>
          <w:b w:val="0"/>
          <w:i w:val="0"/>
          <w:sz w:val="23"/>
        </w:rPr>
        <w:t>Se ha tratado ya la relación de la narración con el tema. Y se ha explicado la liberación de la muerte en forma de tiempo y los actos rituales. Pero ¿qué es la muerte de la que se ha explicado la liberación? Consiste en los órganos (grahas) y los objetos (antigrahas) que están concentrados en el apego debido a nuestra natural ignorancia. Y están limitados por los objetos que se refieren al cuerpo y los elementos. Las formas como el fuego y el sol pertenecen a aquel que se ha liberado de la muerte, que es una limitación explicada en la sección del udgītha. Y algunos detalles se muestran como respuesta a las preguntas de Avala. Todo ello es el resultado de los ritos junto con la meditación. Se ha presentado la liberación de esta existencia relativa que consta de fines y medios. Y se ha descrito la naturaleza de la muerte para el ser humano que está atado y se ha de liberar. Es cierto que la naturaleza de un ser humano emancipado se ha descrito también, pero esa persona no es todavía libre de la muerte con la forma de órganos y objetos.</w:t>
      </w:r>
    </w:p>
    <w:p>
      <w:pPr>
        <w:spacing w:before="0" w:after="140" w:line="278" w:lineRule="auto"/>
        <w:ind w:firstLine="317"/>
      </w:pPr>
      <w:r>
        <w:rPr>
          <w:rFonts w:ascii="Noto Serif" w:hAnsi="Noto Serif"/>
          <w:b w:val="0"/>
          <w:i w:val="0"/>
          <w:sz w:val="23"/>
        </w:rPr>
        <w:t>Por eso se dijo respecto al ser que está en el sol: «porque el hambre es muerte» (I, 2, 1) y «Esto en verdad es muerte» (Ś. X, V, 2, 2), y también: «la muerte, aún siendo una, tiene muchas formas» (Ś. X, V, 2, 16). Con otras palabras, sólo aquel que ha alcanzado la identidad en el sol puede decirse que ha escapado de las garras de la muerte. Y los órganos y objetos que no son sino formas de la muerte no están ausentes en el sol. Se ha dicho: «El cielo es el cuerpo de esta mente y el sol es su luminoso órgano» (I, 5, 12). Y se dirá más adelante: «La mente es lo que percibe. Y la controla lo percibido» (III, 2, 7), «Las fosas nasales (prāṇa) son lo que percibe. Y las controla el olor (apāna), lo percibido» (III, 2, 2) y «El órgano de la palabra es lo que percibe. Y lo controla el nombre, lo percibido» (III, 2, 3). Lo hemos explicado en el pasaje que trata de las tres clases de comida, y hemos demostrado completamente el punto de que lo que ocasiona el comienzo de la atadura no puede conducir a su eliminación.</w:t>
      </w:r>
    </w:p>
    <w:p>
      <w:pPr>
        <w:spacing w:before="0" w:after="140" w:line="278" w:lineRule="auto"/>
        <w:ind w:firstLine="317"/>
      </w:pPr>
      <w:r>
        <w:rPr>
          <w:rFonts w:ascii="Noto Serif" w:hAnsi="Noto Serif"/>
          <w:b w:val="0"/>
          <w:i w:val="0"/>
          <w:sz w:val="23"/>
        </w:rPr>
        <w:t>Algunos, sin embargo, consideran que cada acto ritual conduce a la eliminación de la atadura. Y por eso dicen que quien recurre a las sucesivas formas de muerte se libera de las formas siguientes. El que recurre a las anteriores no se adhiere a ellas sino que por el contrario se desprende de esas formas. Todas las cosas son formas de la muerte, hasta que el dualismo no llega a su fin. Y cuando esto sucede se trasciende en realidad la muerte. Por tanto, se dice que las liberaciones intermedias son relativas y secundarias</w:t>
      </w:r>
      <w:r>
        <w:rPr>
          <w:rFonts w:ascii="Noto Serif" w:hAnsi="Noto Serif"/>
          <w:b w:val="0"/>
          <w:i w:val="0"/>
          <w:sz w:val="21"/>
          <w:vertAlign w:val="superscript"/>
        </w:rPr>
        <w:t>19</w:t>
      </w:r>
      <w:r>
        <w:rPr>
          <w:rFonts w:ascii="Noto Serif" w:hAnsi="Noto Serif"/>
          <w:b w:val="0"/>
          <w:i w:val="0"/>
          <w:sz w:val="23"/>
        </w:rPr>
        <w:t>. Consideramos que la Bṛhadāraṇyaka Upaniṣad no puede sostener otra cosa.</w:t>
      </w:r>
    </w:p>
    <w:p>
      <w:pPr>
        <w:spacing w:before="0" w:after="140" w:line="278" w:lineRule="auto"/>
        <w:ind w:firstLine="317"/>
      </w:pPr>
      <w:r>
        <w:rPr>
          <w:rFonts w:ascii="Noto Serif" w:hAnsi="Noto Serif"/>
          <w:b w:val="0"/>
          <w:i w:val="0"/>
          <w:sz w:val="23"/>
        </w:rPr>
        <w:t>Surge una pregunta: ¿La liberación no consiste en la identidad con todo como se pone de manifiesto en el texto escritural «Por tanto. Aquello llegó a ser todo» (I, 4, 10)?</w:t>
      </w:r>
    </w:p>
    <w:p>
      <w:pPr>
        <w:spacing w:before="0" w:after="140" w:line="278" w:lineRule="auto"/>
        <w:ind w:firstLine="317"/>
      </w:pPr>
      <w:r>
        <w:rPr>
          <w:rFonts w:ascii="Noto Serif" w:hAnsi="Noto Serif"/>
          <w:b w:val="0"/>
          <w:i w:val="0"/>
          <w:sz w:val="23"/>
        </w:rPr>
        <w:t>El filósofo vedānta-advaita responde: Sí, así es. Pero textos escriturales como «Aquel que desea pueblos debe sacrificar» (Ta. XVII, 10, 4) y «Aquel que desea animales debe sacrificar» (Ta. XVI, 12, 8) no conducen a la liberación. Si fuera así, estos textos no significarían pueblos, ganado, paraíso, etc., y lo anterior no se entendería de esa manera. Pero se considera que son los variados resultados de nuestras acciones pasadas. Además si los textos védicos condujeran a la liberación, no habría ninguna existencia relativa.</w:t>
      </w:r>
    </w:p>
    <w:p>
      <w:pPr>
        <w:spacing w:before="0" w:after="140" w:line="278" w:lineRule="auto"/>
        <w:ind w:firstLine="317"/>
      </w:pPr>
      <w:r>
        <w:rPr>
          <w:rFonts w:ascii="Noto Serif" w:hAnsi="Noto Serif"/>
          <w:b w:val="0"/>
          <w:i w:val="0"/>
          <w:sz w:val="23"/>
        </w:rPr>
        <w:t>Un objetor dice: Nosotros sostenemos que aunque la identidad es el propósito de esos pasajes, la existencia relativa es la verdadera naturaleza de los ritos, los cuales surgen automáticamente, lo mismo que cuando una lámpara ilumina una forma en particular todas las cosas de ese lugar quedan iluminadas.</w:t>
      </w:r>
    </w:p>
    <w:p>
      <w:pPr>
        <w:spacing w:before="0" w:after="140" w:line="278" w:lineRule="auto"/>
        <w:ind w:firstLine="317"/>
      </w:pPr>
      <w:r>
        <w:rPr>
          <w:rFonts w:ascii="Noto Serif" w:hAnsi="Noto Serif"/>
          <w:b w:val="0"/>
          <w:i w:val="0"/>
          <w:sz w:val="23"/>
        </w:rPr>
        <w:t>No es así, responde el vedantín, porque eso no se puede sostener por ningún medio de conocimiento. En otras palabras, si los textos védicos junto con las meditaciones conducen sólo a la identificación, no hay prueba de que la atadura sea la consecuencia (de esos textos). De ellos no existe percepción, ni por tanto inferencia ni evidencia escritural.</w:t>
      </w:r>
    </w:p>
    <w:p>
      <w:pPr>
        <w:spacing w:before="0" w:after="140" w:line="278" w:lineRule="auto"/>
        <w:ind w:firstLine="317"/>
      </w:pPr>
      <w:r>
        <w:rPr>
          <w:rFonts w:ascii="Noto Serif" w:hAnsi="Noto Serif"/>
          <w:b w:val="0"/>
          <w:i w:val="0"/>
          <w:sz w:val="23"/>
        </w:rPr>
        <w:t>El objetor insiste: Pero tanto la identificación como la existencia relativa puede conducir, según esa misma sentencia, a la luz o a un eslabón de la cadena. Sirve para propósitos múltiples.</w:t>
      </w:r>
    </w:p>
    <w:p>
      <w:pPr>
        <w:spacing w:before="0" w:after="140" w:line="278" w:lineRule="auto"/>
        <w:ind w:firstLine="317"/>
      </w:pPr>
      <w:r>
        <w:rPr>
          <w:rFonts w:ascii="Noto Serif" w:hAnsi="Noto Serif"/>
          <w:b w:val="0"/>
          <w:i w:val="0"/>
          <w:sz w:val="23"/>
        </w:rPr>
        <w:t>El vedantín responde: No puede ser, porque ello contradeciría las leyes (lógicas) que rigen las sentencias. No se puede decir que el tema de una sentencia (las ceremonias en este caso) sirva a la vez para introducir en la atadura y para pararla. Los ejemplos de la luz, los eslabones de la cadena y demás son correctos, ya que se usan en el ámbito de la percepción. Podrías decir que existen versos védicos (mantras) que confirman este punto de vista. Pero tu opinión es insostenible. Hemos de descubrir si esos versos significan eso u otra cosa.</w:t>
      </w:r>
    </w:p>
    <w:p>
      <w:pPr>
        <w:spacing w:before="0" w:after="140" w:line="278" w:lineRule="auto"/>
        <w:ind w:firstLine="317"/>
      </w:pPr>
      <w:r>
        <w:rPr>
          <w:rFonts w:ascii="Noto Serif" w:hAnsi="Noto Serif"/>
          <w:b w:val="0"/>
          <w:i w:val="0"/>
          <w:sz w:val="23"/>
        </w:rPr>
        <w:t>Por consiguiente concluiremos que la muerte bajo la forma de órganos y objetos es atadura</w:t>
      </w:r>
      <w:r>
        <w:rPr>
          <w:rFonts w:ascii="Noto Serif" w:hAnsi="Noto Serif"/>
          <w:b w:val="0"/>
          <w:i w:val="0"/>
          <w:sz w:val="21"/>
          <w:vertAlign w:val="superscript"/>
        </w:rPr>
        <w:t>20</w:t>
      </w:r>
      <w:r>
        <w:rPr>
          <w:rFonts w:ascii="Noto Serif" w:hAnsi="Noto Serif"/>
          <w:b w:val="0"/>
          <w:i w:val="0"/>
          <w:sz w:val="23"/>
        </w:rPr>
        <w:t>. Y esta segunda parte (del capítulo tercero) trata de presentar un camino para salir de esa esclavitud. No conocemos el engaño de colocarse en una posición intermedia como la que hay entre el estado de vigilia y el de sueño. Sería absurdo que una misma persona fuera mitad anciana y mitad joven. La razón por la que tras las palabras «ir más allá de la muerte»</w:t>
      </w:r>
      <w:r>
        <w:rPr>
          <w:rFonts w:ascii="Noto Serif" w:hAnsi="Noto Serif"/>
          <w:b w:val="0"/>
          <w:i w:val="0"/>
          <w:sz w:val="21"/>
          <w:vertAlign w:val="superscript"/>
        </w:rPr>
        <w:t>21</w:t>
      </w:r>
      <w:r>
        <w:rPr>
          <w:rFonts w:ascii="Noto Serif" w:hAnsi="Noto Serif"/>
          <w:b w:val="0"/>
          <w:i w:val="0"/>
          <w:sz w:val="23"/>
        </w:rPr>
        <w:t xml:space="preserve"> se mencionan los órganos (instrumentos de percepción) y los objetos (percibidos) es que estos últimos realmente tienen un significado de muerte. En otras palabras, todo el ámbito de fines y medios constituye atadura, esclavitud. Porque no hay libertad a partir de los órganos (los sentidos corporales y la mente) y de los objetos. Sólo cuando el encadenado conoce sus cadenas puede intentar quitárselas. Por eso en esta parte del libro se describe la naturaleza de la esclavitud.</w:t>
      </w:r>
    </w:p>
    <w:p>
      <w:pPr>
        <w:spacing w:before="160" w:after="220" w:line="288" w:lineRule="auto"/>
        <w:ind w:left="255"/>
      </w:pPr>
      <w:r>
        <w:rPr>
          <w:rFonts w:ascii="Noto Serif" w:hAnsi="Noto Serif"/>
          <w:b w:val="0"/>
          <w:i/>
          <w:sz w:val="24"/>
        </w:rPr>
        <w:t>1. Entonces Ārtabhāga, de la línea de los Jāratkāru, le preguntó: «Yājñavalkya, ¿cuántos órganos de percepción (grahas) existen y cuántos objetos para percibir (antigrahas)?». Hay ocho de cada uno de ellos, respondió. «¿Cuáles son?».</w:t>
      </w:r>
    </w:p>
    <w:p>
      <w:pPr>
        <w:spacing w:before="0" w:after="140" w:line="278" w:lineRule="auto"/>
        <w:ind w:firstLine="317"/>
      </w:pPr>
      <w:r>
        <w:rPr>
          <w:rFonts w:ascii="Noto Serif" w:hAnsi="Noto Serif"/>
          <w:b w:val="0"/>
          <w:i w:val="0"/>
          <w:sz w:val="23"/>
        </w:rPr>
        <w:t>Cuando dejó de hablar Asvala, Ārtabhāga, hijo de Ṛtabhāga de la línea Jāratkāru, habló: «Yājñavalkya», dijo para llamar su atención. E hizo la pregunta de cuántos órganos de percepción y objetos percibidos había.</w:t>
      </w:r>
    </w:p>
    <w:p>
      <w:pPr>
        <w:spacing w:before="0" w:after="140" w:line="278" w:lineRule="auto"/>
        <w:ind w:firstLine="317"/>
      </w:pPr>
      <w:r>
        <w:rPr>
          <w:rFonts w:ascii="Noto Serif" w:hAnsi="Noto Serif"/>
          <w:b w:val="0"/>
          <w:i w:val="0"/>
          <w:sz w:val="23"/>
        </w:rPr>
        <w:t>Hay una objeción: El tema de la pregunta, lo percibido y el perceptor, puede conocerse o no. Si se conoce también se conocerá su número, que es atributo suyo. En ese caso el preguntar cuántos son los grahas y los antigrahas está fuera de lugar. Si por otra parte no son conocidos, entonces la pregunta se dirigirá a su naturaleza: ¿qué son ellos? y no ¿cuántos? Además se podrían hacer preguntas sobre las particularidades de las cosas de las que ya tenemos un conocimiento general, como por ejemplo: «¿Cuál de ellos pertenece a la revisión kāṭha y cuál a la kalāpa?»</w:t>
      </w:r>
      <w:r>
        <w:rPr>
          <w:rFonts w:ascii="Noto Serif" w:hAnsi="Noto Serif"/>
          <w:b w:val="0"/>
          <w:i w:val="0"/>
          <w:sz w:val="21"/>
          <w:vertAlign w:val="superscript"/>
        </w:rPr>
        <w:t>22</w:t>
      </w:r>
      <w:r>
        <w:rPr>
          <w:rFonts w:ascii="Noto Serif" w:hAnsi="Noto Serif"/>
          <w:b w:val="0"/>
          <w:i w:val="0"/>
          <w:sz w:val="23"/>
        </w:rPr>
        <w:t>. Pero cosas como lo percibido y el perceptor no se conocen en la vida diaria. Si así fuera, la pregunta se referiría a sus particularidades.</w:t>
      </w:r>
    </w:p>
    <w:p>
      <w:pPr>
        <w:spacing w:before="0" w:after="140" w:line="278" w:lineRule="auto"/>
        <w:ind w:firstLine="317"/>
      </w:pPr>
      <w:r>
        <w:rPr>
          <w:rFonts w:ascii="Noto Serif" w:hAnsi="Noto Serif"/>
          <w:b w:val="0"/>
          <w:i w:val="0"/>
          <w:sz w:val="23"/>
        </w:rPr>
        <w:t>El vedantín dice: Se ha preguntado antes (III, 1, 3) cómo el que hace el sacrificio va más allá de la muerte. Sólo quien es controlado por lo percibido (graha) puede liberarse. Y se mencionaron dos maneras de liberarse, la de «liberación» y la de «emancipación» (ibid.). Por tanto lo percibido y el perceptor son cosas conocidas.</w:t>
      </w:r>
    </w:p>
    <w:p>
      <w:pPr>
        <w:spacing w:before="0" w:after="140" w:line="278" w:lineRule="auto"/>
        <w:ind w:firstLine="317"/>
      </w:pPr>
      <w:r>
        <w:rPr>
          <w:rFonts w:ascii="Noto Serif" w:hAnsi="Noto Serif"/>
          <w:b w:val="0"/>
          <w:i w:val="0"/>
          <w:sz w:val="23"/>
        </w:rPr>
        <w:t>El objetor insiste: Incluso así, (hay que tener en cuenta que) se han mencionado (únicamente) cuatro clases de objetos percibidos y sujetos perceptores (en III, 1, 3-6): la boca, el ojo, la energía vital y la mente. La cuestión que se suscita entonces al preguntar ¿cuántos? no es el número que ya se conoce.</w:t>
      </w:r>
    </w:p>
    <w:p>
      <w:pPr>
        <w:spacing w:before="0" w:after="140" w:line="278" w:lineRule="auto"/>
        <w:ind w:firstLine="317"/>
      </w:pPr>
      <w:r>
        <w:rPr>
          <w:rFonts w:ascii="Noto Serif" w:hAnsi="Noto Serif"/>
          <w:b w:val="0"/>
          <w:i w:val="0"/>
          <w:sz w:val="23"/>
        </w:rPr>
        <w:t>No es así, dice el vedantín, porque ahí el número es indefinido. El pasaje citado no trata de fijar el número en cuatro. En cualquier meditación en lo percibido y el perceptor se suele fijar el número ocho. Por ello la pregunta es correcta. La liberación y la emancipación se han mencionado dos veces en el pasaje: «Esto es liberación. Esto es emancipación». Los objetos percibidos y los perceptores también han sido establecidos como hechos. De ahí que Ārtabhāga pregunte: «¿Cuántos son los percibidos y los perceptores?». Y Yājñavalkya responde que hay ocho de cada uno. ¿Cuáles son esos ocho a los que te refieres?</w:t>
      </w:r>
    </w:p>
    <w:p>
      <w:pPr>
        <w:spacing w:before="160" w:after="220" w:line="288" w:lineRule="auto"/>
        <w:ind w:left="255"/>
      </w:pPr>
      <w:r>
        <w:rPr>
          <w:rFonts w:ascii="Noto Serif" w:hAnsi="Noto Serif"/>
          <w:b w:val="0"/>
          <w:i/>
          <w:sz w:val="24"/>
        </w:rPr>
        <w:t>2. Las fosas nasales (prāṇa) son lo que percibe. Y las controla el olor (apāna), lo percibido, ya que se percibe el olor por apāna.</w:t>
      </w:r>
    </w:p>
    <w:p>
      <w:pPr>
        <w:spacing w:before="0" w:after="140" w:line="278" w:lineRule="auto"/>
        <w:ind w:firstLine="317"/>
      </w:pPr>
      <w:r>
        <w:rPr>
          <w:rFonts w:ascii="Noto Serif" w:hAnsi="Noto Serif"/>
          <w:b w:val="0"/>
          <w:i w:val="0"/>
          <w:sz w:val="23"/>
        </w:rPr>
        <w:t>Yājñavalkya responde que prāṇa es el graha. En este contexto prāṇa son las fosas nasales. Estas están relacionadas con el aire. Apāna significa aquí olor. Se le llama así por acompañar siempre al olfato, ya que con la nariz se perciben los olores que se presentan en el aire que respiramos (apāna). Esto es lo que quiere decir la frase «ya que se percibe el olor por ella (apuna)».</w:t>
      </w:r>
    </w:p>
    <w:p>
      <w:pPr>
        <w:spacing w:before="160" w:after="220" w:line="288" w:lineRule="auto"/>
        <w:ind w:left="255"/>
      </w:pPr>
      <w:r>
        <w:rPr>
          <w:rFonts w:ascii="Noto Serif" w:hAnsi="Noto Serif"/>
          <w:b w:val="0"/>
          <w:i/>
          <w:sz w:val="24"/>
        </w:rPr>
        <w:t>3. El órgano de la palabra es lo que percibe. Y lo controla el nombre, lo percibido, ya que los nombres se pronuncian por el órgano del lenguaje.</w:t>
      </w:r>
    </w:p>
    <w:p>
      <w:pPr>
        <w:spacing w:before="0" w:after="140" w:line="278" w:lineRule="auto"/>
        <w:ind w:firstLine="317"/>
      </w:pPr>
      <w:r>
        <w:rPr>
          <w:rFonts w:ascii="Noto Serif" w:hAnsi="Noto Serif"/>
          <w:b w:val="0"/>
          <w:i w:val="0"/>
          <w:sz w:val="23"/>
        </w:rPr>
        <w:t>El órgano de la palabra es lo percibido (graha). La palabra confinada a un cuerpo particular se ocupa de las cosas con las que las personas están apegadas. Y pronuncia expresiones que son falsas, perniciosas, rudas u ofensivas. Ello controla, capta a las personas, por lo tanto es algo percibido (graha). Ese objeto percibido que se ha llamado órgano del lenguaje está controlado por el nombre como perceptor, que es cualquier cosa pronunciada. Como el órgano del lenguaje es el medio para expresar algo, se usa aquello (el nombre) con ese propósito. Por eso lo controla, y no hay deliberación para ello, hasta no haber realizado su función. Y se dice que el órgano del lenguaje es controlado por el nombre, su perceptor, porque es un hecho que las personas, impelidas por su apego a que algo se exprese, caen en toda clase de problemas.</w:t>
      </w:r>
    </w:p>
    <w:p>
      <w:pPr>
        <w:spacing w:before="160" w:after="220" w:line="288" w:lineRule="auto"/>
        <w:ind w:left="255"/>
      </w:pPr>
      <w:r>
        <w:rPr>
          <w:rFonts w:ascii="Noto Serif" w:hAnsi="Noto Serif"/>
          <w:b w:val="0"/>
          <w:i/>
          <w:sz w:val="24"/>
        </w:rPr>
        <w:t>4. La lengua es lo que percibe. Y la controla el sentido del gusto, lo percibido, ya que los sabores se perciben con la lengua.</w:t>
      </w:r>
    </w:p>
    <w:p>
      <w:pPr>
        <w:spacing w:before="160" w:after="220" w:line="288" w:lineRule="auto"/>
        <w:ind w:left="255"/>
      </w:pPr>
      <w:r>
        <w:rPr>
          <w:rFonts w:ascii="Noto Serif" w:hAnsi="Noto Serif"/>
          <w:b w:val="0"/>
          <w:i/>
          <w:sz w:val="24"/>
        </w:rPr>
        <w:t>5. El ojo es lo que percibe. Y lo controla el color, lo percibido, ya que por el ojo se ven los colores.</w:t>
      </w:r>
    </w:p>
    <w:p>
      <w:pPr>
        <w:spacing w:before="160" w:after="220" w:line="288" w:lineRule="auto"/>
        <w:ind w:left="255"/>
      </w:pPr>
      <w:r>
        <w:rPr>
          <w:rFonts w:ascii="Noto Serif" w:hAnsi="Noto Serif"/>
          <w:b w:val="0"/>
          <w:i/>
          <w:sz w:val="24"/>
        </w:rPr>
        <w:t>6. El oído es lo que percibe. Y lo controla el sonido, lo percibido, ya que el oído se oyen los sonidos.</w:t>
      </w:r>
    </w:p>
    <w:p>
      <w:pPr>
        <w:spacing w:before="160" w:after="220" w:line="288" w:lineRule="auto"/>
        <w:ind w:left="255"/>
      </w:pPr>
      <w:r>
        <w:rPr>
          <w:rFonts w:ascii="Noto Serif" w:hAnsi="Noto Serif"/>
          <w:b w:val="0"/>
          <w:i/>
          <w:sz w:val="24"/>
        </w:rPr>
        <w:t>7. La mente es lo que percibe. Y la controla lo percibido, ya que se desean los objetos de deseo con la mente.</w:t>
      </w:r>
    </w:p>
    <w:p>
      <w:pPr>
        <w:spacing w:before="160" w:after="220" w:line="288" w:lineRule="auto"/>
        <w:ind w:left="255"/>
      </w:pPr>
      <w:r>
        <w:rPr>
          <w:rFonts w:ascii="Noto Serif" w:hAnsi="Noto Serif"/>
          <w:b w:val="0"/>
          <w:i/>
          <w:sz w:val="24"/>
        </w:rPr>
        <w:t>8. Las manos son lo que percibe. Y las controla la obra, lo percibido, ya que las obras se hacen con las manos.</w:t>
      </w:r>
    </w:p>
    <w:p>
      <w:pPr>
        <w:spacing w:before="160" w:after="220" w:line="288" w:lineRule="auto"/>
        <w:ind w:left="255"/>
      </w:pPr>
      <w:r>
        <w:rPr>
          <w:rFonts w:ascii="Noto Serif" w:hAnsi="Noto Serif"/>
          <w:b w:val="0"/>
          <w:i/>
          <w:sz w:val="24"/>
        </w:rPr>
        <w:t>9. La piel es lo que percibe. Y la controla el tacto, lo percibido, ya que el tacto se siente por la piel. Éstos son los ocho órganos de percepción (grahas) y los ocho objetos percibidos por ellos (antigrahas).</w:t>
      </w:r>
    </w:p>
    <w:p>
      <w:pPr>
        <w:spacing w:before="160" w:after="220" w:line="288" w:lineRule="auto"/>
        <w:ind w:left="255"/>
      </w:pPr>
      <w:r>
        <w:rPr>
          <w:rFonts w:ascii="Noto Serif" w:hAnsi="Noto Serif"/>
          <w:b w:val="0"/>
          <w:i/>
          <w:sz w:val="24"/>
        </w:rPr>
        <w:t>10. Yājñavalkya, dijo aquél, si todo es alimento para la muerte, ¿quién es la deidad para la cual la muerte es alimento? El fuego es muerte, es el alimento del agua. Quien conoce esto conquista la muerte ulterior.</w:t>
      </w:r>
    </w:p>
    <w:p>
      <w:pPr>
        <w:spacing w:before="0" w:after="140" w:line="278" w:lineRule="auto"/>
        <w:ind w:firstLine="317"/>
      </w:pPr>
      <w:r>
        <w:rPr>
          <w:rFonts w:ascii="Noto Serif" w:hAnsi="Noto Serif"/>
          <w:b w:val="0"/>
          <w:i w:val="0"/>
          <w:sz w:val="23"/>
        </w:rPr>
        <w:t>Cuando termina el tema de los órganos y los objetos de percepción, Ārtabhāga habla de nuevo. Yājñavalkya, dice, si todo el universo manifestado es alimento para la muerte, todas las cosas al nacer están en peligro porque son devoradas por la muerte como el que percibe y el objeto percibido, ¿quién es ese dios que se alimenta incluso de la muerte? Otro texto escritural dice: «como alimento condimentado con la muerte»</w:t>
      </w:r>
      <w:r>
        <w:rPr>
          <w:rFonts w:ascii="Noto Serif" w:hAnsi="Noto Serif"/>
          <w:b w:val="0"/>
          <w:i w:val="0"/>
          <w:sz w:val="21"/>
          <w:vertAlign w:val="superscript"/>
        </w:rPr>
        <w:t>23</w:t>
      </w:r>
      <w:r>
        <w:rPr>
          <w:rFonts w:ascii="Noto Serif" w:hAnsi="Noto Serif"/>
          <w:b w:val="0"/>
          <w:i w:val="0"/>
          <w:sz w:val="23"/>
        </w:rPr>
        <w:t xml:space="preserve"> (Ka. Up. I, 2, 25).</w:t>
      </w:r>
    </w:p>
    <w:p>
      <w:pPr>
        <w:spacing w:before="0" w:after="140" w:line="278" w:lineRule="auto"/>
        <w:ind w:firstLine="317"/>
      </w:pPr>
      <w:r>
        <w:rPr>
          <w:rFonts w:ascii="Noto Serif" w:hAnsi="Noto Serif"/>
          <w:b w:val="0"/>
          <w:i w:val="0"/>
          <w:sz w:val="23"/>
        </w:rPr>
        <w:t>La intención del que pregunta es: Si Yājñavalkya menciona la muerte de la muerte, ello conduciría a un regreso al infinito. Si, por otro lado, no lo menciona, la liberación de la muerte bajo la forma de perceptores y objetos percibidos es imposible. Porque la liberación tiene lugar cuando esa forma de la muerte es destruida. Y eso sería imposible si existiera además la muerte de la muerte. Por eso pregunta ¿quién es ese dios?, al considerar la pregunta irrespondible.</w:t>
      </w:r>
    </w:p>
    <w:p>
      <w:pPr>
        <w:spacing w:before="0" w:after="140" w:line="278" w:lineRule="auto"/>
        <w:ind w:firstLine="317"/>
      </w:pPr>
      <w:r>
        <w:rPr>
          <w:rFonts w:ascii="Noto Serif" w:hAnsi="Noto Serif"/>
          <w:b w:val="0"/>
          <w:i w:val="0"/>
          <w:sz w:val="23"/>
        </w:rPr>
        <w:t>(Yājñavalkya dijo:) Existe la muerte de la muerte.</w:t>
      </w:r>
    </w:p>
    <w:p>
      <w:pPr>
        <w:spacing w:before="0" w:after="140" w:line="278" w:lineRule="auto"/>
        <w:ind w:firstLine="317"/>
      </w:pPr>
      <w:r>
        <w:rPr>
          <w:rFonts w:ascii="Noto Serif" w:hAnsi="Noto Serif"/>
          <w:b w:val="0"/>
          <w:i w:val="0"/>
          <w:sz w:val="23"/>
        </w:rPr>
        <w:t>Hay una objeción: Eso conduciría a un regreso al infinito, ya que esa muerte (última) también tendría que tener su muerte.</w:t>
      </w:r>
    </w:p>
    <w:p>
      <w:pPr>
        <w:spacing w:before="0" w:after="140" w:line="278" w:lineRule="auto"/>
        <w:ind w:firstLine="317"/>
      </w:pPr>
      <w:r>
        <w:rPr>
          <w:rFonts w:ascii="Noto Serif" w:hAnsi="Noto Serif"/>
          <w:b w:val="0"/>
          <w:i w:val="0"/>
          <w:sz w:val="23"/>
        </w:rPr>
        <w:t>No, dice el vedantín, porque no puedes concebir otro destructor para aquello que es la muerte de todo.</w:t>
      </w:r>
    </w:p>
    <w:p>
      <w:pPr>
        <w:spacing w:before="0" w:after="140" w:line="278" w:lineRule="auto"/>
        <w:ind w:firstLine="317"/>
      </w:pPr>
      <w:r>
        <w:rPr>
          <w:rFonts w:ascii="Noto Serif" w:hAnsi="Noto Serif"/>
          <w:b w:val="0"/>
          <w:i w:val="0"/>
          <w:sz w:val="23"/>
        </w:rPr>
        <w:t>¿Cómo sabes que es la muerte de la muerte?, pregunta el objetor:</w:t>
      </w:r>
    </w:p>
    <w:p>
      <w:pPr>
        <w:spacing w:before="0" w:after="140" w:line="278" w:lineRule="auto"/>
        <w:ind w:firstLine="317"/>
      </w:pPr>
      <w:r>
        <w:rPr>
          <w:rFonts w:ascii="Noto Serif" w:hAnsi="Noto Serif"/>
          <w:b w:val="0"/>
          <w:i w:val="0"/>
          <w:sz w:val="23"/>
        </w:rPr>
        <w:t>Lo sabemos, responde el vedantín. El fuego por ejemplo es la muerte de todos los seres, es su destructor. Pero es devorado por el agua, luego es el alimento del agua. Cree por tanto que existe la muerte de la muerte y que devora todos los órganos perceptores y los objetos percibidos. Cuando esos grilletes se destruyen devorados por la muerte, es posible la liberación de la existencia relativa. Se ha dicho que los perceptores y los objetos percibidos son grilletes. Está claro que podemos desembarazarnos de ellos. Y por tanto nuestros esfuerzos por librarnos de las ataduras son fructíferos. Y así (es posible) conquistar la muerte ulterior</w:t>
      </w:r>
      <w:r>
        <w:rPr>
          <w:rFonts w:ascii="Noto Serif" w:hAnsi="Noto Serif"/>
          <w:b w:val="0"/>
          <w:i w:val="0"/>
          <w:sz w:val="21"/>
          <w:vertAlign w:val="superscript"/>
        </w:rPr>
        <w:t>24</w:t>
      </w:r>
      <w:r>
        <w:rPr>
          <w:rFonts w:ascii="Noto Serif" w:hAnsi="Noto Serif"/>
          <w:b w:val="0"/>
          <w:i w:val="0"/>
          <w:sz w:val="23"/>
        </w:rPr>
        <w:t>.</w:t>
      </w:r>
    </w:p>
    <w:p>
      <w:pPr>
        <w:spacing w:before="160" w:after="220" w:line="288" w:lineRule="auto"/>
        <w:ind w:left="255"/>
      </w:pPr>
      <w:r>
        <w:rPr>
          <w:rFonts w:ascii="Noto Serif" w:hAnsi="Noto Serif"/>
          <w:b w:val="0"/>
          <w:i/>
          <w:sz w:val="24"/>
        </w:rPr>
        <w:t>11. Yājñavalkya, dijo aquél, cuando ese ser humano (un sabio liberado) muere, ¿sus órganos se van fuera de él o no? No, respondió Yājñavalkya, se funden en él. El cadáver se dilata y en ese estado yace muerto.</w:t>
      </w:r>
    </w:p>
    <w:p>
      <w:pPr>
        <w:spacing w:before="0" w:after="140" w:line="278" w:lineRule="auto"/>
        <w:ind w:firstLine="317"/>
      </w:pPr>
      <w:r>
        <w:rPr>
          <w:rFonts w:ascii="Noto Serif" w:hAnsi="Noto Serif"/>
          <w:b w:val="0"/>
          <w:i w:val="0"/>
          <w:sz w:val="23"/>
        </w:rPr>
        <w:t>Cuando a esa persona liberada después de la muerte le ha devorado la otra muerte, es decir, la concienciación del Ser supremo, sus órganos, el del lenguaje y el del nombre como grahas y antigrahas, que están en ella en forma de percepciones o le impelen a la acción, ¿se van de la persona moribunda que conoce lo Absoluto (Brahman) o no? No, responde Yājñavalkya. Los órganos y sus objetos se hacen una sola cosa con el Ser supremo, se identifican, se funden en él, en su causa, el ser humano realizado, el que es la Realidad del supremo Absoluto, como lo hacen las olas en el océano. Un pasaje de otro texto escritural presenta la disolución de los órganos designada con la palabra «dígito» en el Ser supremo: «Así actúan esos dieciséis dígitos del que ha visto (la verdad), del que se ha fundido en el Ser, de que se ha disuelto al alcanzarlo» (Pr. Up. VI, 5). Aquí se muestra su identificación con el Ser supremo. Entonces ¿la persona no muere? No, es el cuerpo el que muere, ya que el cadáver se dilata por el aire exterior como un par de fuelles, y en ese estado yace muerto, inmóvil. Lo esencial del pasaje es que la persona liberada, después de haber destruido sus ataduras, no va a ningún lugar</w:t>
      </w:r>
      <w:r>
        <w:rPr>
          <w:rFonts w:ascii="Noto Serif" w:hAnsi="Noto Serif"/>
          <w:b w:val="0"/>
          <w:i w:val="0"/>
          <w:sz w:val="21"/>
          <w:vertAlign w:val="superscript"/>
        </w:rPr>
        <w:t>25</w:t>
      </w:r>
      <w:r>
        <w:rPr>
          <w:rFonts w:ascii="Noto Serif" w:hAnsi="Noto Serif"/>
          <w:b w:val="0"/>
          <w:i w:val="0"/>
          <w:sz w:val="23"/>
        </w:rPr>
        <w:t>.</w:t>
      </w:r>
    </w:p>
    <w:p>
      <w:pPr>
        <w:spacing w:before="160" w:after="220" w:line="288" w:lineRule="auto"/>
        <w:ind w:left="255"/>
      </w:pPr>
      <w:r>
        <w:rPr>
          <w:rFonts w:ascii="Noto Serif" w:hAnsi="Noto Serif"/>
          <w:b w:val="0"/>
          <w:i/>
          <w:sz w:val="24"/>
        </w:rPr>
        <w:t>12. Yājñavalkya, dijo aquél, «cuando un ser humano muere, ¿qué es lo que no le abandona?». «El nombre</w:t>
      </w:r>
      <w:r>
        <w:rPr>
          <w:rFonts w:ascii="Noto Serif" w:hAnsi="Noto Serif"/>
          <w:b w:val="0"/>
          <w:i/>
          <w:sz w:val="22"/>
          <w:vertAlign w:val="superscript"/>
        </w:rPr>
        <w:t>26</w:t>
      </w:r>
      <w:r>
        <w:rPr>
          <w:rFonts w:ascii="Noto Serif" w:hAnsi="Noto Serif"/>
          <w:b w:val="0"/>
          <w:i/>
          <w:sz w:val="24"/>
        </w:rPr>
        <w:t>. El nombre es infinito e infinitos son los Viśvadevas. (Identificándose con ellos) se llega al mundo de lo infinito»</w:t>
      </w:r>
      <w:r>
        <w:rPr>
          <w:rFonts w:ascii="Noto Serif" w:hAnsi="Noto Serif"/>
          <w:b w:val="0"/>
          <w:i/>
          <w:sz w:val="22"/>
          <w:vertAlign w:val="superscript"/>
        </w:rPr>
        <w:t>27</w:t>
      </w:r>
      <w:r>
        <w:rPr>
          <w:rFonts w:ascii="Noto Serif" w:hAnsi="Noto Serif"/>
          <w:b w:val="0"/>
          <w:i/>
          <w:sz w:val="24"/>
        </w:rPr>
        <w:t>.</w:t>
      </w:r>
    </w:p>
    <w:p>
      <w:pPr>
        <w:spacing w:before="0" w:after="140" w:line="278" w:lineRule="auto"/>
        <w:ind w:firstLine="317"/>
      </w:pPr>
      <w:r>
        <w:rPr>
          <w:rFonts w:ascii="Noto Serif" w:hAnsi="Noto Serif"/>
          <w:b w:val="0"/>
          <w:i w:val="0"/>
          <w:sz w:val="23"/>
        </w:rPr>
        <w:t>¿Sólo los órganos de una persona liberada se funden o se funde todo lo que se mueve en la acción? Si sólo es lo primero y no lo último, entonces con la presencia de todas esas causas simultáneas los órganos podrían volver a funcionar. Si por otra parte todas las cosas, los deseos y las obras se funden sólo es posible ya la liberación. Para explicar esto se presenta la siguiente pregunta: «Cuando un ser humano muere, ¿qué es lo que no le abandona?». Y se responde así: «El nombre». Quiere decir que todas las cosas se funden. Sólo el nombre queda por su relación con lo universal porque el nombre es eterno. El nombre es infinito. Su infinitud es la eternidad. Y los Viśvadevas son infinitos porque tienen la infinitud del nombre. Así se llega al mundo de lo infinito.</w:t>
      </w:r>
    </w:p>
    <w:p>
      <w:pPr>
        <w:spacing w:before="160" w:after="220" w:line="288" w:lineRule="auto"/>
        <w:ind w:left="255"/>
      </w:pPr>
      <w:r>
        <w:rPr>
          <w:rFonts w:ascii="Noto Serif" w:hAnsi="Noto Serif"/>
          <w:b w:val="0"/>
          <w:i/>
          <w:sz w:val="24"/>
        </w:rPr>
        <w:t>13. Yājñavalkya, dijo entonces aquél, cuando el órgano de la palabra de la persona en el fuego, el de la energía vital en el aire, el de la vista en el sol, la mente en la luna, el oído en los cuatro puntos del espacio, el cuerpo en la tierra, el espacio del corazón en el espacio exterior, el cabello del cuerpo en las hierbas, el de la cabeza en los árboles y la sangre y el semen se depositan en el agua, ¿dónde se encuentra el ser humano?». «Dametu mano, querido Ārtabhāga, decidiremos esto entre nosotros, una cosa así no debe ser tratada en público». Entonces se fueron los dos y estuvieron hablando a solas. Hablaron de las obras</w:t>
      </w:r>
      <w:r>
        <w:rPr>
          <w:rFonts w:ascii="Noto Serif" w:hAnsi="Noto Serif"/>
          <w:b w:val="0"/>
          <w:i/>
          <w:sz w:val="22"/>
          <w:vertAlign w:val="superscript"/>
        </w:rPr>
        <w:t>28</w:t>
      </w:r>
      <w:r>
        <w:rPr>
          <w:rFonts w:ascii="Noto Serif" w:hAnsi="Noto Serif"/>
          <w:b w:val="0"/>
          <w:i/>
          <w:sz w:val="24"/>
        </w:rPr>
        <w:t>, y elogiaron únicamente esas obras: el que una persona se hace buena por las buenas obras y mala por. las malas. A partir de aquí Ārtabhāga, de la línea Jāratkāru, permaneció en silencio.</w:t>
      </w:r>
    </w:p>
    <w:p>
      <w:pPr>
        <w:spacing w:before="0" w:after="140" w:line="278" w:lineRule="auto"/>
        <w:ind w:firstLine="317"/>
      </w:pPr>
      <w:r>
        <w:rPr>
          <w:rFonts w:ascii="Noto Serif" w:hAnsi="Noto Serif"/>
          <w:b w:val="0"/>
          <w:i w:val="0"/>
          <w:sz w:val="23"/>
        </w:rPr>
        <w:t>Se ha descrito la muerte que consiste en ataduras bajo la forma de los órganos perceptores y los objetos percibidos. Y porque esa muerte tiene su muerte, la liberación es posible</w:t>
      </w:r>
      <w:r>
        <w:rPr>
          <w:rFonts w:ascii="Noto Serif" w:hAnsi="Noto Serif"/>
          <w:b w:val="0"/>
          <w:i w:val="0"/>
          <w:sz w:val="21"/>
          <w:vertAlign w:val="superscript"/>
        </w:rPr>
        <w:t>29</w:t>
      </w:r>
      <w:r>
        <w:rPr>
          <w:rFonts w:ascii="Noto Serif" w:hAnsi="Noto Serif"/>
          <w:b w:val="0"/>
          <w:i w:val="0"/>
          <w:sz w:val="23"/>
        </w:rPr>
        <w:t>. La liberación es la disolución, aquí mismo, de lo que percibe y lo percibido como se extingue una luz. Este párrafo presenta una investigación sobre la naturaleza de la causa que provoca la muerte, que es la atadura del perceptor y lo percibido (grahas y antigrahas). Aquí algunos interpretan lo siguiente: Aunque el perceptor y lo percibido, junto con la causa que los estimula, se eliminen, sin embargo todavía un ser humano no está liberado. Separado del Ser supremo por la ignorancia que brota de él y puede compararse a un desierto, y a la vez alejado del mundo de la experiencia, aquel de quien sólo queda el nombre y cuyos deseos y pasadas obras han sido arrancados permanece en un estado intermedio. Su percepción de dualidad ha de ser eliminada por la concienciación de la unidad del Ser supremo. Y así hay que presentar una nueva meditación en el Ser supremo. Esta escuela filosófica</w:t>
      </w:r>
      <w:r>
        <w:rPr>
          <w:rFonts w:ascii="Noto Serif" w:hAnsi="Noto Serif"/>
          <w:b w:val="0"/>
          <w:i w:val="0"/>
          <w:sz w:val="21"/>
          <w:vertAlign w:val="superscript"/>
        </w:rPr>
        <w:t>30</w:t>
      </w:r>
      <w:r>
        <w:rPr>
          <w:rFonts w:ascii="Noto Serif" w:hAnsi="Noto Serif"/>
          <w:b w:val="0"/>
          <w:i w:val="0"/>
          <w:sz w:val="23"/>
        </w:rPr>
        <w:t xml:space="preserve"> concibe un estado intermedio llamado apavarga o desprendimiento y establece un enlace con la sección siguiente. Preguntamos ahora a esas personas cómo es que el ser humano desencarnado, después de que sus órganos han sido destruidos, llega a concienciar al Ser supremo por la escucha, la reflexión y la meditación. Ellos sostienen que una persona cuyos órganos han sido disueltos sólo mantiene su nombre. Y las escrituras dicen: «(El cuerpo) yace muerto» (III, 2, 11). Por tanto ni con la imaginación se puede afirmar su posición.</w:t>
      </w:r>
    </w:p>
    <w:p>
      <w:pPr>
        <w:spacing w:before="0" w:after="140" w:line="278" w:lineRule="auto"/>
        <w:ind w:firstLine="317"/>
      </w:pPr>
      <w:r>
        <w:rPr>
          <w:rFonts w:ascii="Noto Serif" w:hAnsi="Noto Serif"/>
          <w:b w:val="0"/>
          <w:i w:val="0"/>
          <w:sz w:val="23"/>
        </w:rPr>
        <w:t>Si por otra parte piensan que un ser humano durante su existencia temporal sólo tiene ignorancia en su interior aun estando alejado del mundo de las experiencias (de placer y dolor), deben entonces explicar a qué se debe esto. Si lo atribuyen a su identificación con el universo individual y colectivo, eso ya ha sido refutado</w:t>
      </w:r>
      <w:r>
        <w:rPr>
          <w:rFonts w:ascii="Noto Serif" w:hAnsi="Noto Serif"/>
          <w:b w:val="0"/>
          <w:i w:val="0"/>
          <w:sz w:val="21"/>
          <w:vertAlign w:val="superscript"/>
        </w:rPr>
        <w:t>31</w:t>
      </w:r>
      <w:r>
        <w:rPr>
          <w:rFonts w:ascii="Noto Serif" w:hAnsi="Noto Serif"/>
          <w:b w:val="0"/>
          <w:i w:val="0"/>
          <w:sz w:val="23"/>
        </w:rPr>
        <w:t>. (Hay dos vías): la del sabio que dedicado a su identificación con el universo individual y colectivo</w:t>
      </w:r>
      <w:r>
        <w:rPr>
          <w:rFonts w:ascii="Noto Serif" w:hAnsi="Noto Serif"/>
          <w:b w:val="0"/>
          <w:i w:val="0"/>
          <w:sz w:val="21"/>
          <w:vertAlign w:val="superscript"/>
        </w:rPr>
        <w:t>32</w:t>
      </w:r>
      <w:r>
        <w:rPr>
          <w:rFonts w:ascii="Noto Serif" w:hAnsi="Noto Serif"/>
          <w:b w:val="0"/>
          <w:i w:val="0"/>
          <w:sz w:val="23"/>
        </w:rPr>
        <w:t>, junto con las ceremonias, puede, tras la muerte, una vez disueltos sus órganos, llegar a la identidad con el universo o con la Vida total (Hiraṇyagarbha). O también la del que en esa existencia temporal puede, con sus órganos intactos, desviarse, ponerse en contra del mundo de las experiencias (de placer y dolor) e inclinarse hacia el Ser supremo. No tiene medios para llegar al estado de Vida total, porque lo que ayuda a causar un movimiento no puede ayudar a pararlo al mismo tiempo.</w:t>
      </w:r>
    </w:p>
    <w:p>
      <w:pPr>
        <w:spacing w:before="0" w:after="140" w:line="278" w:lineRule="auto"/>
        <w:ind w:firstLine="317"/>
      </w:pPr>
      <w:r>
        <w:rPr>
          <w:rFonts w:ascii="Noto Serif" w:hAnsi="Noto Serif"/>
          <w:b w:val="0"/>
          <w:i w:val="0"/>
          <w:sz w:val="23"/>
        </w:rPr>
        <w:t>Si por el contrario llega tras la muerte al estado de la Vida total divina (Hiraṇyagarbha) y con sus órganos disueltos con sólo el nombre está capacitado para el descubrimiento de la verdad del Ser supremo, entonces la enseñanza sobre esa verdad del supremo Ser, adecuada a nosotros, personas normales, no tendría sentido. Textos escriturales como «Cualquiera entre los dioses que lo conociera también se convertiría en Aquello» (I, 4, 10) enseñan que el conocimiento de la verdad sobre lo Absoluto se da para llegar al fin más elevado en la vida dentro del ámbito total. Por tanto la doctrina anterior es muy pobre y además contraria a las enseñanzas de las escrituras. Volvamos ahora a nuestro tema.</w:t>
      </w:r>
    </w:p>
    <w:p>
      <w:pPr>
        <w:spacing w:before="0" w:after="140" w:line="278" w:lineRule="auto"/>
        <w:ind w:firstLine="317"/>
      </w:pPr>
      <w:r>
        <w:rPr>
          <w:rFonts w:ascii="Noto Serif" w:hAnsi="Noto Serif"/>
          <w:b w:val="0"/>
          <w:i w:val="0"/>
          <w:sz w:val="23"/>
        </w:rPr>
        <w:t>Para descubrir cómo empieza la atadura conocida como perceptor y objeto percibido, dice el texto: «Cuando el órgano de la palabra de alguien muerto» sin haber alcanzado la más elevada verdad y manteniendo aún la idea de que tiene una cabeza, unas manos, etc., «se funde en el fuego, el olfato en el aire, el ojo en el sol, etc.», el verbo «fundirse» se entiende en cada caso. La palabra Ātman significa aquí el espacio del corazón, la sede del Ser. Este espacio se funde con el espacio exterior. «... y la sangre y el semen se depositan en el agua». La palabra «depositar» indica que se eliminan. En cada caso los términos «órgano de la palabra» se refieren a las deidades que dirigen esos órganos. Los órganos mismos no se van después de la liberación. Cuando las deidades directoras cesan de actuar, los órganos se vuelven instrumentos como una podadera abandonada. Y el actor, el ser humano, al estar desencadenado, queda indefenso. Por eso la pregunta se refiere a su soporte o base, ¿dónde está el ser humano?, es decir, ¿en qué ha quedado? La pregunta sería: ¿Cuál es la base que resta con la cual podrá tomar, una vez más, cuerpo y órganos para comenzar la atadura conocida como perceptor y objeto percibido?</w:t>
      </w:r>
    </w:p>
    <w:p>
      <w:pPr>
        <w:spacing w:before="0" w:after="140" w:line="278" w:lineRule="auto"/>
        <w:ind w:firstLine="317"/>
      </w:pPr>
      <w:r>
        <w:rPr>
          <w:rFonts w:ascii="Noto Serif" w:hAnsi="Noto Serif"/>
          <w:b w:val="0"/>
          <w:i w:val="0"/>
          <w:sz w:val="23"/>
        </w:rPr>
        <w:t>La respuesta se da a continuación: Los exponentes de las distintas escuelas han considerado como soporte distintas cosas, como la naturaleza, el azar, el tiempo, las obras, el destino, la mera conciencia, el vacío</w:t>
      </w:r>
      <w:r>
        <w:rPr>
          <w:rFonts w:ascii="Noto Serif" w:hAnsi="Noto Serif"/>
          <w:b w:val="0"/>
          <w:i w:val="0"/>
          <w:sz w:val="21"/>
          <w:vertAlign w:val="superscript"/>
        </w:rPr>
        <w:t>33</w:t>
      </w:r>
      <w:r>
        <w:rPr>
          <w:rFonts w:ascii="Noto Serif" w:hAnsi="Noto Serif"/>
          <w:b w:val="0"/>
          <w:i w:val="0"/>
          <w:sz w:val="23"/>
        </w:rPr>
        <w:t>. Estando el tema abierto a tantas disputas, la verdad no se puede descubrir por el usual método de anular al oponente. Si quieres saber la verdad sobre este asunto «dame tu mano, querido Ṛtabhāga, y decidiremos entre nosotros» sobre esto que has preguntado. Porque no se puede decidir en público, y debemos retirarnos para hacerlo. Lo que hicieron al retirarse Yājñavalkya y Ṛtabhāga se indica: «hablaron a solas». Primero repasaron uno por uno los diferentes puntos de vista sobre el tema y reflexionaron sobre ellos. Y escuchemos lo que se menciona al final de esa reflexión, después de refutar las opiniones tentativas. Mencionan sólo las obras como la base que causa el volver a tomar el cuerpo y los órganos. Y no sólo eso. Al haber aceptado el tiempo, las obras, el destino y Dios como causas ¿por qué valoran sólo las obras? Porque deciden que el volver a tomar cuerpo y órganos, lo que se conoce como perceptores y objetos percibidos (grahas y antigrahas), se debe a las obras. Por ellos se hace alguien bueno por las buenas obras que las escrituras proponen y malo por las malas obras. Y cuando Yājñavalkya respondió a estas preguntas, Ṛtabhāga, de la línea Jāratkāru, en ese momento se dio cuenta de que era imposible estar en desacuerdo con él y permaneció en silencio.</w:t>
      </w:r>
    </w:p>
    <w:p>
      <w:pPr>
        <w:spacing w:before="280" w:after="140"/>
      </w:pPr>
      <w:r>
        <w:rPr>
          <w:rFonts w:ascii="Noto Serif" w:hAnsi="Noto Serif"/>
          <w:b w:val="0"/>
          <w:i w:val="0"/>
          <w:sz w:val="22"/>
        </w:rPr>
        <w:t>NOTAS</w:t>
      </w:r>
    </w:p>
    <w:p>
      <w:pPr>
        <w:spacing w:after="100" w:line="252" w:lineRule="auto"/>
        <w:ind w:left="283" w:hanging="227"/>
      </w:pPr>
      <w:r>
        <w:rPr>
          <w:rFonts w:ascii="Noto Serif" w:hAnsi="Noto Serif"/>
          <w:b/>
          <w:sz w:val="19"/>
        </w:rPr>
        <w:t xml:space="preserve">19. </w:t>
      </w:r>
      <w:r>
        <w:rPr>
          <w:rFonts w:ascii="Noto Serif" w:hAnsi="Noto Serif"/>
          <w:sz w:val="19"/>
        </w:rPr>
        <w:t>¿La atadura, opuesta a la liberación, es la consecuencia de las identificaciones con la energía vital que se obtienen mediante ciertos textos védicos? Śaṅkara quiere separar aquí los textos liberadores de los de ayuda relativa. La mente humana, si se lo propone, puede identificarse con un objeto u otro de la conciencia y es capaz de llegar a ser aquello en lo que se concentra. Éste es el fundamento de toda clase de formas rituales, sacramentales o de cualquier terapia, en términos actuales. Pero mejorar el sueño de la existencia fenoménica o relativa no significa salir de él. Sólo con «sabiduría» y de ninguna manera con «trucos» se libera el ser humano.</w:t>
      </w:r>
    </w:p>
    <w:p>
      <w:pPr>
        <w:spacing w:after="100" w:line="252" w:lineRule="auto"/>
        <w:ind w:left="283" w:hanging="227"/>
      </w:pPr>
      <w:r>
        <w:rPr>
          <w:rFonts w:ascii="Noto Serif" w:hAnsi="Noto Serif"/>
          <w:b/>
          <w:sz w:val="19"/>
        </w:rPr>
        <w:t xml:space="preserve">20. </w:t>
      </w:r>
      <w:r>
        <w:rPr>
          <w:rFonts w:ascii="Noto Serif" w:hAnsi="Noto Serif"/>
          <w:sz w:val="19"/>
        </w:rPr>
        <w:t>Es esclavitud la identificación con los sentidos y el pensamiento llamados aquí «órganos», es decir, con los instrumentos de percepción y también con los objetos de conciencia, con lo percibido. Y a todo este mundo condicionado, opuesto a la verdadera libertad, se le llama «muerte» en muchos textos upanisádicos.</w:t>
      </w:r>
    </w:p>
    <w:p>
      <w:pPr>
        <w:spacing w:after="100" w:line="252" w:lineRule="auto"/>
        <w:ind w:left="283" w:hanging="227"/>
      </w:pPr>
      <w:r>
        <w:rPr>
          <w:rFonts w:ascii="Noto Serif" w:hAnsi="Noto Serif"/>
          <w:b/>
          <w:sz w:val="19"/>
        </w:rPr>
        <w:t xml:space="preserve">21. </w:t>
      </w:r>
      <w:r>
        <w:rPr>
          <w:rFonts w:ascii="Noto Serif" w:hAnsi="Noto Serif"/>
          <w:sz w:val="19"/>
        </w:rPr>
        <w:t>Cf. III, 1, 3. El texto dice: «¿por qué medio el que ofrece el sacrificio puede ir más allá de las garras de la muerte?». Śaṅkara comentó en ese lugar que lo que le hace trascender la muerte es el desapego que requiere el identificar al sacrificio (objeto percibido) y al que lo efectúa (sujeto que lo percibe) con el fuego.</w:t>
      </w:r>
    </w:p>
    <w:p>
      <w:pPr>
        <w:spacing w:after="100" w:line="252" w:lineRule="auto"/>
        <w:ind w:left="283" w:hanging="227"/>
      </w:pPr>
      <w:r>
        <w:rPr>
          <w:rFonts w:ascii="Noto Serif" w:hAnsi="Noto Serif"/>
          <w:b/>
          <w:sz w:val="19"/>
        </w:rPr>
        <w:t xml:space="preserve">22. </w:t>
      </w:r>
      <w:r>
        <w:rPr>
          <w:rFonts w:ascii="Noto Serif" w:hAnsi="Noto Serif"/>
          <w:sz w:val="19"/>
        </w:rPr>
        <w:t>Hay dos revisiones críticas de la Upaniṣad, la kāṇva y la mādhyandina. El comentario de Śaṅkara se basa en la primera. Pero esta frase hace alusión a otras revisiones.</w:t>
      </w:r>
    </w:p>
    <w:p>
      <w:pPr>
        <w:spacing w:after="100" w:line="252" w:lineRule="auto"/>
        <w:ind w:left="283" w:hanging="227"/>
      </w:pPr>
      <w:r>
        <w:rPr>
          <w:rFonts w:ascii="Noto Serif" w:hAnsi="Noto Serif"/>
          <w:b/>
          <w:sz w:val="19"/>
        </w:rPr>
        <w:t xml:space="preserve">23. </w:t>
      </w:r>
      <w:r>
        <w:rPr>
          <w:rFonts w:ascii="Noto Serif" w:hAnsi="Noto Serif"/>
          <w:sz w:val="19"/>
        </w:rPr>
        <w:t>El texto completo del verso es así: «¿Quién sabe donde está Aquel para el que las personas más reconocidas, como los brāhmaṇas y los kṣatriyas, se disuelven como alimento condimentado con la muerte?».</w:t>
      </w:r>
    </w:p>
    <w:p>
      <w:pPr>
        <w:spacing w:after="100" w:line="252" w:lineRule="auto"/>
        <w:ind w:left="283" w:hanging="227"/>
      </w:pPr>
      <w:r>
        <w:rPr>
          <w:rFonts w:ascii="Noto Serif" w:hAnsi="Noto Serif"/>
          <w:b/>
          <w:sz w:val="19"/>
        </w:rPr>
        <w:t xml:space="preserve">24. </w:t>
      </w:r>
      <w:r>
        <w:rPr>
          <w:rFonts w:ascii="Noto Serif" w:hAnsi="Noto Serif"/>
          <w:sz w:val="19"/>
        </w:rPr>
        <w:t>Morir a las apariencias es la última muerte. Es simultánea al despertar a la realidad, a lo absoluto, verdadera identidad del ser humano.</w:t>
      </w:r>
    </w:p>
    <w:p>
      <w:pPr>
        <w:spacing w:after="100" w:line="252" w:lineRule="auto"/>
        <w:ind w:left="283" w:hanging="227"/>
      </w:pPr>
      <w:r>
        <w:rPr>
          <w:rFonts w:ascii="Noto Serif" w:hAnsi="Noto Serif"/>
          <w:b/>
          <w:sz w:val="19"/>
        </w:rPr>
        <w:t xml:space="preserve">25. </w:t>
      </w:r>
      <w:r>
        <w:rPr>
          <w:rFonts w:ascii="Noto Serif" w:hAnsi="Noto Serif"/>
          <w:sz w:val="19"/>
        </w:rPr>
        <w:t>No hay lugar para quien es atemporal y aespacial.</w:t>
      </w:r>
    </w:p>
    <w:p>
      <w:pPr>
        <w:spacing w:after="100" w:line="252" w:lineRule="auto"/>
        <w:ind w:left="283" w:hanging="227"/>
      </w:pPr>
      <w:r>
        <w:rPr>
          <w:rFonts w:ascii="Noto Serif" w:hAnsi="Noto Serif"/>
          <w:b/>
          <w:sz w:val="19"/>
        </w:rPr>
        <w:t xml:space="preserve">26. </w:t>
      </w:r>
      <w:r>
        <w:rPr>
          <w:rFonts w:ascii="Noto Serif" w:hAnsi="Noto Serif"/>
          <w:sz w:val="19"/>
        </w:rPr>
        <w:t>El nombre, la palabra, el verbo («o que era en un principio» según nuestra tradición) es eterno, no acaba. Está hecho de conciencia. El nombre o la palabra es el reflejo directo de la conciencia. Con ese sentido hemos de entenderlo en todo este pasaje.</w:t>
      </w:r>
    </w:p>
    <w:p>
      <w:pPr>
        <w:spacing w:after="100" w:line="252" w:lineRule="auto"/>
        <w:ind w:left="283" w:hanging="227"/>
      </w:pPr>
      <w:r>
        <w:rPr>
          <w:rFonts w:ascii="Noto Serif" w:hAnsi="Noto Serif"/>
          <w:b/>
          <w:sz w:val="19"/>
        </w:rPr>
        <w:t xml:space="preserve">27. </w:t>
      </w:r>
      <w:r>
        <w:rPr>
          <w:rFonts w:ascii="Noto Serif" w:hAnsi="Noto Serif"/>
          <w:sz w:val="19"/>
        </w:rPr>
        <w:t>Ver Viśvadevas en nota 15. Aquí se indica claramente su significado de aspectos de la divinidad: la unidad divina interpretada por la mente humana es natural que tenga infinitos aspectos.</w:t>
      </w:r>
    </w:p>
    <w:p>
      <w:pPr>
        <w:spacing w:after="100" w:line="252" w:lineRule="auto"/>
        <w:ind w:left="283" w:hanging="227"/>
      </w:pPr>
      <w:r>
        <w:rPr>
          <w:rFonts w:ascii="Noto Serif" w:hAnsi="Noto Serif"/>
          <w:b/>
          <w:sz w:val="19"/>
        </w:rPr>
        <w:t xml:space="preserve">28. </w:t>
      </w:r>
      <w:r>
        <w:rPr>
          <w:rFonts w:ascii="Noto Serif" w:hAnsi="Noto Serif"/>
          <w:sz w:val="19"/>
        </w:rPr>
        <w:t>Las obras regidas por la ley de causa y efecto (karma) que diversifica las experiencias existenciales de los distintos seres humanos.</w:t>
      </w:r>
    </w:p>
    <w:p>
      <w:pPr>
        <w:spacing w:after="100" w:line="252" w:lineRule="auto"/>
        <w:ind w:left="283" w:hanging="227"/>
      </w:pPr>
      <w:r>
        <w:rPr>
          <w:rFonts w:ascii="Noto Serif" w:hAnsi="Noto Serif"/>
          <w:b/>
          <w:sz w:val="19"/>
        </w:rPr>
        <w:t xml:space="preserve">29. </w:t>
      </w:r>
      <w:r>
        <w:rPr>
          <w:rFonts w:ascii="Noto Serif" w:hAnsi="Noto Serif"/>
          <w:sz w:val="19"/>
        </w:rPr>
        <w:t>Es una concisa manera de afirmar que el ámbito de la existencia que ata al ser humano (su muerte) puede ser trascendido. Y más allá hay un estado de libertad.</w:t>
      </w:r>
    </w:p>
    <w:p>
      <w:pPr>
        <w:spacing w:after="100" w:line="252" w:lineRule="auto"/>
        <w:ind w:left="283" w:hanging="227"/>
      </w:pPr>
      <w:r>
        <w:rPr>
          <w:rFonts w:ascii="Noto Serif" w:hAnsi="Noto Serif"/>
          <w:b/>
          <w:sz w:val="19"/>
        </w:rPr>
        <w:t xml:space="preserve">30. </w:t>
      </w:r>
      <w:r>
        <w:rPr>
          <w:rFonts w:ascii="Noto Serif" w:hAnsi="Noto Serif"/>
          <w:sz w:val="19"/>
        </w:rPr>
        <w:t>Hace referencia a la escuela de Bhartṛprapañca.</w:t>
      </w:r>
    </w:p>
    <w:p>
      <w:pPr>
        <w:spacing w:after="100" w:line="252" w:lineRule="auto"/>
        <w:ind w:left="283" w:hanging="227"/>
      </w:pPr>
      <w:r>
        <w:rPr>
          <w:rFonts w:ascii="Noto Serif" w:hAnsi="Noto Serif"/>
          <w:b/>
          <w:sz w:val="19"/>
        </w:rPr>
        <w:t xml:space="preserve">31. </w:t>
      </w:r>
      <w:r>
        <w:rPr>
          <w:rFonts w:ascii="Noto Serif" w:hAnsi="Noto Serif"/>
          <w:sz w:val="19"/>
        </w:rPr>
        <w:t>Ver comentario de Śaṅkara al pasaje I, 5, 18, donde se refuta.</w:t>
      </w:r>
    </w:p>
    <w:p>
      <w:pPr>
        <w:spacing w:after="100" w:line="252" w:lineRule="auto"/>
        <w:ind w:left="283" w:hanging="227"/>
      </w:pPr>
      <w:r>
        <w:rPr>
          <w:rFonts w:ascii="Noto Serif" w:hAnsi="Noto Serif"/>
          <w:b/>
          <w:sz w:val="19"/>
        </w:rPr>
        <w:t xml:space="preserve">32. </w:t>
      </w:r>
      <w:r>
        <w:rPr>
          <w:rFonts w:ascii="Noto Serif" w:hAnsi="Noto Serif"/>
          <w:sz w:val="19"/>
        </w:rPr>
        <w:t>Integración del microcosmos del individuo y descubrimiento de la identidad entre microcosmos y macrocosmos.</w:t>
      </w:r>
    </w:p>
    <w:p>
      <w:pPr>
        <w:spacing w:after="100" w:line="252" w:lineRule="auto"/>
        <w:ind w:left="283" w:hanging="227"/>
      </w:pPr>
      <w:r>
        <w:rPr>
          <w:rFonts w:ascii="Noto Serif" w:hAnsi="Noto Serif"/>
          <w:b/>
          <w:sz w:val="19"/>
        </w:rPr>
        <w:t xml:space="preserve">33. </w:t>
      </w:r>
      <w:r>
        <w:rPr>
          <w:rFonts w:ascii="Noto Serif" w:hAnsi="Noto Serif"/>
          <w:sz w:val="19"/>
        </w:rPr>
        <w:t>Se refiere a las teorías de los mīmāṃsakas, los materialistas, los astrólogos, los vaidikas, los que creen en los dioses, los budistas idealistas y los nihilistas, respectivamente.</w:t>
      </w:r>
    </w:p>
    <w:p>
      <w:pPr>
        <w:spacing w:before="280" w:after="100"/>
      </w:pPr>
      <w:r>
        <w:rPr>
          <w:rFonts w:ascii="Noto Serif" w:hAnsi="Noto Serif"/>
          <w:b w:val="0"/>
          <w:i w:val="0"/>
          <w:sz w:val="20"/>
        </w:rPr>
        <w:t>NOTA EDITORIAL DE TRABAJO</w:t>
      </w:r>
    </w:p>
    <w:p>
      <w:pPr>
        <w:spacing w:before="0" w:after="80" w:line="252" w:lineRule="auto"/>
      </w:pPr>
      <w:r>
        <w:rPr>
          <w:rFonts w:ascii="Noto Serif" w:hAnsi="Noto Serif"/>
          <w:b w:val="0"/>
          <w:i w:val="0"/>
          <w:sz w:val="19"/>
        </w:rPr>
        <w:t>Se han eliminado artefactos de OCR, recompuesto palabras partidas y normalizado únicamente diacríticos sánscritos inequívocos, sin reescribir la traducción ni el comentario. Se conservan lecturas anómalas que están realmente impresas en la edición, entre ellas «Dametu mano» y «mala por. las malas». En la continuación explicativa posterior se lee «dame tu mano», tal como figura impreso. El marcador de la nota 28 es muy poco legible en el original y se ha situado junto a «obras» por correspondencia de contenido. La separación entre texto de la Upaniṣad y comentario de Śaṅkara sigue el patrón de los brāhmaṇas anteriores.</w:t>
      </w:r>
    </w:p>
    <w:p>
      <w:pPr>
        <w:spacing w:before="0" w:after="0" w:line="252" w:lineRule="auto"/>
      </w:pPr>
      <w:r>
        <w:rPr>
          <w:rFonts w:ascii="Noto Serif" w:hAnsi="Noto Serif"/>
          <w:b w:val="0"/>
          <w:i w:val="0"/>
          <w:sz w:val="19"/>
        </w:rPr>
        <w:t>Fuente: Consuelo Martín (ed.), Gran Upanisad del Bosque. Brihadaranyaka Upanisad con los comentarios advaita de Sankara, Trotta, 2002, pp. 242-251 (III.2 termina antes del encabezado del Tercer Brāhmaṇa).</w:t>
      </w:r>
    </w:p>
    <w:sectPr w:rsidR="00FC693F" w:rsidRPr="0006063C" w:rsidSect="00034616">
      <w:headerReference w:type="default" r:id="rId9"/>
      <w:pgSz w:w="12240" w:h="15840"/>
      <w:pgMar w:top="1440" w:right="1621" w:bottom="1366" w:left="16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caps/>
        <w:sz w:val="17"/>
      </w:rPr>
      <w:t>BṚHADĀRAṆYAKA UPANIṢAD · III.2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III.2 · La atadura, la muerte y la liberación</dc:title>
  <dc:subject>Normalización de trabajo a partir de la edición de Consuelo Martín (Trotta, 2002)</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