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val="0"/>
        <w:widowControl/>
        <w:spacing w:before="200" w:after="40" w:line="240" w:lineRule="auto"/>
        <w:ind w:firstLine="0" w:left="0" w:right="0"/>
        <w:jc w:val="center"/>
        <w:pBdr>
          <w:left w:val="single" w:sz="0" w:space="0" w:color="FFFFFF"/>
          <w:bottom w:val="single" w:sz="6" w:space="8" w:color="B0B0B0"/>
        </w:pBdr>
      </w:pPr>
      <w:r>
        <w:rPr>
          <w:rFonts w:ascii="Noto Serif" w:hAnsi="Noto Serif" w:eastAsia="Noto Serif"/>
          <w:b w:val="0"/>
          <w:i w:val="0"/>
          <w:sz w:val="44"/>
        </w:rPr>
        <w:t>Bṛhadāraṇyaka Upaniṣad</w:t>
      </w:r>
    </w:p>
    <w:p>
      <w:pPr>
        <w:keepNext/>
        <w:keepLines w:val="0"/>
        <w:widowControl/>
        <w:spacing w:before="100" w:after="180" w:line="240" w:lineRule="auto"/>
        <w:ind w:firstLine="0" w:left="0" w:right="0"/>
        <w:jc w:val="center"/>
      </w:pPr>
      <w:r>
        <w:rPr>
          <w:rFonts w:ascii="Noto Serif" w:hAnsi="Noto Serif" w:eastAsia="Noto Serif"/>
          <w:b w:val="0"/>
          <w:i/>
          <w:sz w:val="27"/>
        </w:rPr>
        <w:t>III.4 · Lo Absoluto incondicionado, tu propio Ser</w:t>
      </w:r>
    </w:p>
    <w:p>
      <w:pPr>
        <w:keepNext/>
        <w:keepLines w:val="0"/>
        <w:widowControl/>
        <w:spacing w:before="40" w:after="20" w:line="240" w:lineRule="auto"/>
        <w:ind w:firstLine="0" w:left="0" w:right="0"/>
        <w:jc w:val="center"/>
      </w:pPr>
      <w:r>
        <w:rPr>
          <w:rFonts w:ascii="Noto Serif" w:hAnsi="Noto Serif" w:eastAsia="Noto Serif"/>
          <w:b w:val="0"/>
          <w:i w:val="0"/>
          <w:sz w:val="21"/>
        </w:rPr>
        <w:t>Texto de la Upaniṣad y comentario de Śaṅkara</w:t>
      </w:r>
    </w:p>
    <w:p>
      <w:pPr>
        <w:keepNext/>
        <w:keepLines w:val="0"/>
        <w:widowControl/>
        <w:spacing w:before="20" w:after="0" w:line="240" w:lineRule="auto"/>
        <w:ind w:firstLine="0" w:left="0" w:right="0"/>
        <w:jc w:val="center"/>
      </w:pPr>
      <w:r>
        <w:rPr>
          <w:rFonts w:ascii="Noto Serif" w:hAnsi="Noto Serif" w:eastAsia="Noto Serif"/>
          <w:b w:val="0"/>
          <w:i w:val="0"/>
          <w:color w:val="5A5A5A"/>
          <w:sz w:val="20"/>
        </w:rPr>
        <w:t>Edición de Consuelo Martín · Trotta, 2002</w:t>
      </w:r>
    </w:p>
    <w:p>
      <w:pPr>
        <w:keepNext/>
        <w:keepLines w:val="0"/>
        <w:widowControl/>
        <w:spacing w:before="180" w:after="80" w:line="240" w:lineRule="auto"/>
        <w:ind w:firstLine="0" w:left="0" w:right="0"/>
        <w:jc w:val="center"/>
      </w:pPr>
      <w:r>
        <w:rPr>
          <w:rFonts w:ascii="Noto Serif" w:hAnsi="Noto Serif" w:eastAsia="Noto Serif"/>
          <w:b w:val="0"/>
          <w:i/>
          <w:color w:val="5A5A5A"/>
          <w:sz w:val="19"/>
        </w:rPr>
        <w:t>Normalización de trabajo</w:t>
      </w:r>
    </w:p>
    <w:p>
      <w:pPr>
        <w:keepNext w:val="0"/>
        <w:keepLines w:val="0"/>
        <w:widowControl/>
        <w:spacing w:before="0" w:after="0"/>
      </w:pPr>
    </w:p>
    <w:p>
      <w:pPr>
        <w:keepNext/>
        <w:keepLines w:val="0"/>
        <w:widowControl/>
        <w:spacing w:before="20" w:after="0" w:line="240" w:lineRule="auto"/>
        <w:ind w:firstLine="0" w:left="0" w:right="0"/>
        <w:jc w:val="center"/>
      </w:pPr>
      <w:r>
        <w:rPr>
          <w:rFonts w:ascii="Noto Serif" w:hAnsi="Noto Serif" w:eastAsia="Noto Serif"/>
          <w:b w:val="0"/>
          <w:i w:val="0"/>
          <w:smallCaps/>
          <w:sz w:val="21"/>
        </w:rPr>
        <w:t>SEGUNDO LIBRO · YĀJÑAVALKYA</w:t>
      </w:r>
    </w:p>
    <w:p>
      <w:pPr>
        <w:keepNext/>
        <w:keepLines w:val="0"/>
        <w:widowControl/>
        <w:spacing w:before="40" w:after="0" w:line="240" w:lineRule="auto"/>
        <w:ind w:firstLine="0" w:left="0" w:right="0"/>
        <w:jc w:val="center"/>
      </w:pPr>
      <w:r>
        <w:rPr>
          <w:rFonts w:ascii="Noto Serif" w:hAnsi="Noto Serif" w:eastAsia="Noto Serif"/>
          <w:b/>
          <w:i w:val="0"/>
          <w:sz w:val="29"/>
        </w:rPr>
        <w:t>TERCER ADHYĀYA</w:t>
      </w:r>
    </w:p>
    <w:p>
      <w:pPr>
        <w:keepNext/>
        <w:keepLines w:val="0"/>
        <w:widowControl/>
        <w:spacing w:before="40" w:after="0" w:line="240" w:lineRule="auto"/>
        <w:ind w:firstLine="0" w:left="0" w:right="0"/>
        <w:jc w:val="center"/>
      </w:pPr>
      <w:r>
        <w:rPr>
          <w:rFonts w:ascii="Noto Serif" w:hAnsi="Noto Serif" w:eastAsia="Noto Serif"/>
          <w:b w:val="0"/>
          <w:i w:val="0"/>
          <w:smallCaps/>
          <w:sz w:val="22"/>
        </w:rPr>
        <w:t>CUARTO BRĀHMAṆA</w:t>
      </w:r>
    </w:p>
    <w:p>
      <w:pPr>
        <w:keepNext/>
        <w:keepLines w:val="0"/>
        <w:widowControl/>
        <w:spacing w:before="220" w:after="200" w:line="240" w:lineRule="auto"/>
        <w:ind w:firstLine="0" w:left="0" w:right="0"/>
        <w:jc w:val="center"/>
      </w:pPr>
      <w:r>
        <w:rPr>
          <w:rFonts w:ascii="Noto Serif" w:hAnsi="Noto Serif" w:eastAsia="Noto Serif"/>
          <w:b/>
          <w:i w:val="0"/>
          <w:sz w:val="26"/>
        </w:rPr>
        <w:t>LO ABSOLUTO INCONDICIONADO, TU PROPIO SER</w:t>
      </w:r>
    </w:p>
    <w:p>
      <w:pPr>
        <w:keepNext w:val="0"/>
        <w:keepLines w:val="0"/>
        <w:widowControl/>
        <w:spacing w:before="0" w:after="124" w:line="278" w:lineRule="auto"/>
        <w:ind w:firstLine="312" w:left="0" w:right="0"/>
        <w:jc w:val="both"/>
      </w:pPr>
      <w:r>
        <w:rPr>
          <w:rFonts w:ascii="Noto Serif" w:hAnsi="Noto Serif" w:eastAsia="Noto Serif"/>
          <w:b w:val="0"/>
          <w:i w:val="0"/>
          <w:sz w:val="24"/>
        </w:rPr>
        <w:t>Se ha afirmado que una persona bajo el control de los órganos de percepción y sus objetos (grahas y antigrahas), que a su vez están dirigidos por los méritos y deméritos, toma y desecha repetidas veces estos órganos y objetos y transmigra. Y la perfección de los méritos se ha explicado que conciernen al universo manifestado colectivo e individual, ya que es la identificación con la Vida total (Hiraṇyagarbha) en estos dos aspectos. Aquí surgen las preguntas: ¿la entidad que transmigra bajo el control de los órganos y sus objetos existe o no?, y si existe ¿cómo es? Esto nos enseña sobre el Ser como una entidad distinta a la que presenta la pregunta de Uṣasta. Si alguien conoce Aquello como incondicionado y naturalmente libre de las acciones y sus factores, se libera de las ataduras, mencionadas antes, y de sus causas. El propósito de la narración ya lo conocemos.</w:t>
      </w:r>
    </w:p>
    <w:p>
      <w:pPr>
        <w:keepNext w:val="0"/>
        <w:keepLines/>
        <w:widowControl/>
        <w:spacing w:before="150" w:after="150" w:line="269" w:lineRule="auto"/>
        <w:ind w:left="238" w:firstLine="0" w:right="125"/>
        <w:jc w:val="left"/>
        <w:shd w:val="clear" w:color="auto" w:fill="F1F1F1"/>
        <w:pBdr>
          <w:left w:val="single" w:sz="12" w:space="7" w:color="6F6F6F"/>
        </w:pBdr>
      </w:pPr>
      <w:r>
        <w:rPr>
          <w:rFonts w:ascii="Noto Serif" w:hAnsi="Noto Serif" w:eastAsia="Noto Serif"/>
          <w:b w:val="0"/>
          <w:i/>
          <w:sz w:val="24"/>
        </w:rPr>
        <w:t>1. Entonces Uṣasta, hijo de Cakra, le preguntó: «Yājñavalkya, explícame qué es lo Absoluto (Brahman), el cual es una institución inmediata y una percepción directa, el ser que está dentro de todo». Y respondió Yājñavalkya: Aquello es tu ser que está dentro de todo. ¿A cuál te refieres? Aquello que respira por la energía vital (prāṇa) es tu ser que está dentro de todo. Lo que se mueve hacia abajo por la energía (apāna) es tu ser que está dentro de todo. La energía que sale fuera (udāna)</w:t>
      </w:r>
      <w:r>
        <w:rPr>
          <w:rFonts w:ascii="Noto Serif" w:hAnsi="Noto Serif" w:eastAsia="Noto Serif"/>
          <w:b w:val="0"/>
          <w:i/>
          <w:sz w:val="19"/>
          <w:vertAlign w:val="superscript"/>
        </w:rPr>
        <w:t>45</w:t>
      </w:r>
      <w:r>
        <w:rPr>
          <w:rFonts w:ascii="Noto Serif" w:hAnsi="Noto Serif" w:eastAsia="Noto Serif"/>
          <w:b w:val="0"/>
          <w:i/>
          <w:sz w:val="24"/>
        </w:rPr>
        <w:t xml:space="preserve"> es tu Ser que está dentro de todo. Esto es el Ser que está dentro de todo.</w:t>
      </w:r>
    </w:p>
    <w:p>
      <w:pPr>
        <w:keepNext w:val="0"/>
        <w:keepLines w:val="0"/>
        <w:widowControl/>
        <w:spacing w:before="0" w:after="124" w:line="278" w:lineRule="auto"/>
        <w:ind w:firstLine="312" w:left="0" w:right="0"/>
        <w:jc w:val="both"/>
      </w:pPr>
      <w:r>
        <w:rPr>
          <w:rFonts w:ascii="Noto Serif" w:hAnsi="Noto Serif" w:eastAsia="Noto Serif"/>
          <w:b w:val="0"/>
          <w:i w:val="0"/>
          <w:sz w:val="24"/>
        </w:rPr>
        <w:t>Lo Absoluto que es inmediato, no obstruido por el que ve, por el sujeto, por nadie, y directo, no se emplea en sentido figurado, como el oído y demás. Aquello que se considera lo Absoluto ¿qué es? El Ser que está dentro de todo. La palabra «Ser» se refiere al propio ser, pues es el sentido aceptado del término. Las palabras Yat y Yah</w:t>
      </w:r>
      <w:r>
        <w:rPr>
          <w:rFonts w:ascii="Noto Serif" w:hAnsi="Noto Serif" w:eastAsia="Noto Serif"/>
          <w:b w:val="0"/>
          <w:i w:val="0"/>
          <w:sz w:val="19"/>
          <w:vertAlign w:val="superscript"/>
        </w:rPr>
        <w:t>46</w:t>
      </w:r>
      <w:r>
        <w:rPr>
          <w:rFonts w:ascii="Noto Serif" w:hAnsi="Noto Serif" w:eastAsia="Noto Serif"/>
          <w:b w:val="0"/>
          <w:i w:val="0"/>
          <w:sz w:val="24"/>
        </w:rPr>
        <w:t xml:space="preserve"> indican que el ser de todo es idéntico a lo Absoluto. Explícame lo que es ese ser con claridad, como se muestra una vaca cogiéndola por sus cuernos, como cuando decimos «Esto es».</w:t>
      </w:r>
    </w:p>
    <w:p>
      <w:pPr>
        <w:keepNext w:val="0"/>
        <w:keepLines w:val="0"/>
        <w:widowControl/>
        <w:spacing w:before="0" w:after="124" w:line="278" w:lineRule="auto"/>
        <w:ind w:firstLine="312" w:left="0" w:right="0"/>
        <w:jc w:val="both"/>
      </w:pPr>
      <w:r>
        <w:rPr>
          <w:rFonts w:ascii="Noto Serif" w:hAnsi="Noto Serif" w:eastAsia="Noto Serif"/>
          <w:b w:val="0"/>
          <w:i w:val="0"/>
          <w:sz w:val="24"/>
        </w:rPr>
        <w:t>Ante esta pregunta Yājñavalkya respondió: «Es tu ser que está dentro de todo». La calificación que se da «que está dentro de todo» sugiere cualquier calificación. Aquello que es inmediato, sin obstrucción y directo o usado en sentido primario. Brahman, lo inmenso, el ser de todo y dentro de todo, todas esas especificaciones se refieren a él. ¿Qué es ese ser tuyo? Aquello que anima tus órganos y tu cuerpo es tu ser. Es el ser del cuerpo y los órganos. Primero existe el cuerpo. Dentro de él, el cuerpo sutil compuesto por los órganos. Y luego está aquello de cuya existencia se duda. ¿A cuál de éstos te refieres como mi ser que está dentro? Y Yājñavalkya respondió a esto diciendo: «Aquello que respira por la energía vital, lo que actúa en las fosas nasales y la boca», es decir, «por lo que ese aliento respira» (Ke. Up. I, 9) es tu ser, el ser individual del cuerpo y los órganos». El resto del pasaje tiene el mismo significado «lo que se mueve hacia abajo...» es aquello por lo que cuerpo y órganos respiran y hacen sus demás funciones como una marioneta de madera. Aunque operan por un principio inteligente, no pueden efectuar ninguna de sus funciones como la de respirar, y lo mismo sucede con una marioneta de madera. Y porque actúan por el ser que es distinto de ello, (el cuerpo y la mente) respiran y hacen otras funciones como la marioneta. Por tanto existe ese principio diferente del cuerpo y los órganos (los sentidos y la mente) que les hace realizar sus funciones.</w:t>
      </w:r>
    </w:p>
    <w:p>
      <w:pPr>
        <w:keepNext w:val="0"/>
        <w:keepLines/>
        <w:widowControl/>
        <w:spacing w:before="150" w:after="150" w:line="269" w:lineRule="auto"/>
        <w:ind w:left="238" w:firstLine="0" w:right="125"/>
        <w:jc w:val="left"/>
        <w:shd w:val="clear" w:color="auto" w:fill="F1F1F1"/>
        <w:pBdr>
          <w:left w:val="single" w:sz="12" w:space="7" w:color="6F6F6F"/>
        </w:pBdr>
      </w:pPr>
      <w:r>
        <w:rPr>
          <w:rFonts w:ascii="Noto Serif" w:hAnsi="Noto Serif" w:eastAsia="Noto Serif"/>
          <w:b w:val="0"/>
          <w:i/>
          <w:sz w:val="24"/>
        </w:rPr>
        <w:t>2. Uṣasta, hijo de Cakra, replicó: Entonces, tal como lo has explicado, puede ser una vaca o un caballo. Explícame lo que es Brahman, lo Absoluto, que es inmediato y directo, el ser que está dentro de todo. Es tu ser que está dentro de todo, insistió (el maestro). Yājñavalkya ¿qué está dentro de todo? No puedes ver al que es testigo de la visión, no puedes oír al que es auditor de la escucha, no puedes pensar al que es pensador del pensamiento, no puedes conocer al que conoce al conocimiento. Aquello es tu Ser que está dentro de todo. Todo lo demás es perecedero. Y después de esto Uṣasta Cākrāyaṇa se quedó en silencio.</w:t>
      </w:r>
    </w:p>
    <w:p>
      <w:pPr>
        <w:keepNext w:val="0"/>
        <w:keepLines w:val="0"/>
        <w:widowControl/>
        <w:spacing w:before="0" w:after="124" w:line="278" w:lineRule="auto"/>
        <w:ind w:firstLine="312" w:left="0" w:right="0"/>
        <w:jc w:val="both"/>
      </w:pPr>
      <w:r>
        <w:rPr>
          <w:rFonts w:ascii="Noto Serif" w:hAnsi="Noto Serif" w:eastAsia="Noto Serif"/>
          <w:b w:val="0"/>
          <w:i w:val="0"/>
          <w:sz w:val="24"/>
        </w:rPr>
        <w:t>Algunos proponen una cosa y luego tienen dudas, por eso diré algo más, hablaré, por ejemplo, de una vaca o un caballo que sólo se describen por ciertas características como el andar, y se dice «una vaca es algo que anda» o «un caballo es algo que corre». Así te has referido a Brahman, lo Absoluto, por ciertas características como el respirar. Para ser valiente, abandona tu juego que impulsa tu deseo de vacas</w:t>
      </w:r>
      <w:r>
        <w:rPr>
          <w:rFonts w:ascii="Noto Serif" w:hAnsi="Noto Serif" w:eastAsia="Noto Serif"/>
          <w:b w:val="0"/>
          <w:i w:val="0"/>
          <w:sz w:val="19"/>
          <w:vertAlign w:val="superscript"/>
        </w:rPr>
        <w:t>47</w:t>
      </w:r>
      <w:r>
        <w:rPr>
          <w:rFonts w:ascii="Noto Serif" w:hAnsi="Noto Serif" w:eastAsia="Noto Serif"/>
          <w:b w:val="0"/>
          <w:i w:val="0"/>
          <w:sz w:val="24"/>
        </w:rPr>
        <w:t xml:space="preserve"> y explícame qué es lo Absoluto inmediato y directo, el ser que está dentro de todo.</w:t>
      </w:r>
    </w:p>
    <w:p>
      <w:pPr>
        <w:keepNext w:val="0"/>
        <w:keepLines w:val="0"/>
        <w:widowControl/>
        <w:spacing w:before="0" w:after="124" w:line="278" w:lineRule="auto"/>
        <w:ind w:firstLine="312" w:left="0" w:right="0"/>
        <w:jc w:val="both"/>
      </w:pPr>
      <w:r>
        <w:rPr>
          <w:rFonts w:ascii="Noto Serif" w:hAnsi="Noto Serif" w:eastAsia="Noto Serif"/>
          <w:b w:val="0"/>
          <w:i w:val="0"/>
          <w:sz w:val="24"/>
        </w:rPr>
        <w:t>Yājñavalkya contestó entonces: Me mantengo en la proposición que hice al principio. Tu ser es exactamente como lo he descrito. Me pides que presente el Ser como si fuera una jarra. No lo hago porque es imposible. ¿Por qué? Por su verdadera naturaleza, por ser el testigo de la visión, ya que eso es el ser. La visión puede ser de dos clases: ordinaria o real. La visión ordinaria es una función de la mente, conectada con el ojo. Es un acto y por serlo tiene un principio y un fin. Pero la visión que pertenece al ser es como el calor y la luz del fuego. Al ser la misma esencia del testigo, no tiene principio ni fin. Como aparece conectada con la visión ordinaria, que es producida y no es sino una limitación añadida, se habla de él (el Ser) como el testigo. Y se diferencia incluso en el testigo y la visión.</w:t>
      </w:r>
    </w:p>
    <w:p>
      <w:pPr>
        <w:keepNext w:val="0"/>
        <w:keepLines w:val="0"/>
        <w:widowControl/>
        <w:spacing w:before="0" w:after="124" w:line="278" w:lineRule="auto"/>
        <w:ind w:firstLine="312" w:left="0" w:right="0"/>
        <w:jc w:val="both"/>
      </w:pPr>
      <w:r>
        <w:rPr>
          <w:rFonts w:ascii="Noto Serif" w:hAnsi="Noto Serif" w:eastAsia="Noto Serif"/>
          <w:b w:val="0"/>
          <w:i w:val="0"/>
          <w:sz w:val="24"/>
        </w:rPr>
        <w:t>La visión ordinaria está siempre coloreada por los objetos vistos a través de los ojos y desde luego tiene un principio. Aparece conectada con la visión eterna del ser, aunque no es más que reflexión. Se origina y termina, ya que está penetrada por el otro (el Ser). Por tanto la visión eterna del Ser es, hablando metafóricamente, como la del testigo y aunque está eternamente contemplando, se dice de él que a veces ve y a veces no. Pero de hecho la visión del que ve nunca cambia. Así podemos decir en el cuarto capítulo: «Parece que piensa, parece que se mueve» (IV, 3, 7). Mientras «la visión del testigo nunca se puede perder» (IV, 3, 25). Éste es el sentido del pasaje siguiente: «Tú no puedes ver al que es testigo de la visión», es decir, al que penetra por su visión eterna en el acto de tu ordinaria visión. Y al ser un acto es afectado por los objetos vistos y revela sólo color (formas coloreadas), pero no el propio ser que lo penetra. Por eso no puedes ver al ser interno que es el testigo de la visión. No puede oír... no puedes pensar lo que penetra el pensamiento, no puedes conocer lo que penetra el conocimiento, la simple función del intelecto. Ésa es la verdadera naturaleza de Aquello. Por eso no es posible mostrarlo como se muestra una vaca.</w:t>
      </w:r>
    </w:p>
    <w:p>
      <w:pPr>
        <w:keepNext w:val="0"/>
        <w:keepLines w:val="0"/>
        <w:widowControl/>
        <w:spacing w:before="0" w:after="124" w:line="278" w:lineRule="auto"/>
        <w:ind w:firstLine="312" w:left="0" w:right="0"/>
        <w:jc w:val="both"/>
      </w:pPr>
      <w:r>
        <w:rPr>
          <w:rFonts w:ascii="Noto Serif" w:hAnsi="Noto Serif" w:eastAsia="Noto Serif"/>
          <w:b w:val="0"/>
          <w:i w:val="0"/>
          <w:sz w:val="24"/>
        </w:rPr>
        <w:t>Algunos explican este pasaje del testigo de diferente manera. Según ellos «el testigo de la visión» quiere decir «aquello que ve», el agente o causa de la visión en general, sin distinguir las diferentes clases. En otras palabras, ven el caso genitivo en el término «visión» como si tuviera la fuerza de un acusativo. Esa visión es causada y es un efecto como una jarra. El sufijo en la palabra draṣṭṛ (testigo) indica acción. Por eso opinan estos comentadores que la expresión «el testigo de la visión» significa «el que realiza la visión». Pero se equivocan al ver que el término «de visión» resulta entonces redundante. E incluso si lo ven, lo toman como una repetición o un error en la lectura que no afecta a nada. Y no ponen atención a ello. ¿Por qué las palabras son redundantes? Lo son porque la palabra draṣṭṛ misma tendría que ser suficiente para indicar la acción de la visión. Entonces sólo se podría decir: «No puedes ver al testigo». Porque el texto utiliza el sufijo tṛc con el verbo. Y en gramática eso siempre indica la acción del acto denotado por el verbo. Decimos sólo: «Alguien está conduciendo al viajero o al cortador». Y al no tener un significado especial no diríamos «el viajero del viajar o el cortador de cortar». Las palabras extras deben considerarse una mera dilucidación, si existe una explicación alternativa. Y no se trata de un error de lectura, ya que todos por unanimidad lo aceptamos. Por tanto se trata de falta de comprensión de los comentadores y no un error por parte de los estudiantes.</w:t>
      </w:r>
    </w:p>
    <w:p>
      <w:pPr>
        <w:keepNext w:val="0"/>
        <w:keepLines w:val="0"/>
        <w:widowControl/>
        <w:spacing w:before="0" w:after="124" w:line="278" w:lineRule="auto"/>
        <w:ind w:firstLine="312" w:left="0" w:right="0"/>
        <w:jc w:val="both"/>
      </w:pPr>
      <w:r>
        <w:rPr>
          <w:rFonts w:ascii="Noto Serif" w:hAnsi="Noto Serif" w:eastAsia="Noto Serif"/>
          <w:b w:val="0"/>
          <w:i w:val="0"/>
          <w:sz w:val="24"/>
        </w:rPr>
        <w:t>No obstante, el modo en que lo hemos explicado, al decir que el Ser está capacitado para una visión eterna, como opuesta a la visión ordinaria, debería expresarse, según las dos palabras «testigo» y «visión», como descripción del sujeto y el objeto para tratar de definir la naturaleza del Ser. Eso estaría de acuerdo, incluso con el pasaje «La visión del testigo (nunca se puede perder)» que aparece en algún lugar (IV, 3, 23) y también con las frases «Por lo que los ojos ven» (Ke. Up. I, 7), «Por lo que el oído oye» (ibid.. I, 8) que se presentan en otro lugar. Además concuerda con la razón. En otras palabras, decir «El Ser puede ser eterno aun sin ser inmutable» es una contradicción al indicar que algo podría ser cambiante y a la vez eterno. Y en ese caso los textos escriturales «Parece que piensa, parece que se mueve» (IV, 3, 22), «La visión del testigo nunca se puede perder» y «La eterna gloria del que conoce el Absoluto» (IV, 4, 23) resultarían inconsistentes.</w:t>
      </w:r>
    </w:p>
    <w:p>
      <w:pPr>
        <w:keepNext w:val="0"/>
        <w:keepLines w:val="0"/>
        <w:widowControl/>
        <w:spacing w:before="0" w:after="124" w:line="278" w:lineRule="auto"/>
        <w:ind w:firstLine="312" w:left="0" w:right="0"/>
        <w:jc w:val="both"/>
      </w:pPr>
      <w:r>
        <w:rPr>
          <w:rFonts w:ascii="Noto Serif" w:hAnsi="Noto Serif" w:eastAsia="Noto Serif"/>
          <w:b w:val="0"/>
          <w:i w:val="0"/>
          <w:sz w:val="24"/>
        </w:rPr>
        <w:t>Hay una objeción: Pero los términos «testigo», «pensador» y «conocedor», podrían ser también inconsistentes si el Ser es inmutable.</w:t>
      </w:r>
    </w:p>
    <w:p>
      <w:pPr>
        <w:keepNext w:val="0"/>
        <w:keepLines w:val="0"/>
        <w:widowControl/>
        <w:spacing w:before="0" w:after="124" w:line="278" w:lineRule="auto"/>
        <w:ind w:firstLine="312" w:left="0" w:right="0"/>
        <w:jc w:val="both"/>
      </w:pPr>
      <w:r>
        <w:rPr>
          <w:rFonts w:ascii="Noto Serif" w:hAnsi="Noto Serif" w:eastAsia="Noto Serif"/>
          <w:b w:val="0"/>
          <w:i w:val="0"/>
          <w:sz w:val="24"/>
        </w:rPr>
        <w:t>No es así, aclara el filósofo vedānta-advaita, porque sólo aparecen esos términos en expresiones convencionales como cuando piensa la gente y no intenta definir la verdad del Ser. Y como las expresiones «el testigo de la visión» y otras no pueden ser explicadas, concluiremos que significan lo que hemos indicado. De ahí que el rechazo de los oponentes al término «de visión» se deba sólo a la ignorancia. Éste es tu ser, especificado con todos los epítetos señalados antes. Todo lo que no sea el Ser, tanto el cuerpo denso como el sutil que se compone de los órganos (incluida la mente), es perecedero. Sólo Aquél es imperecedero e inmutable. Y ante esto Uṣasta, el hijo de Cakra, se quedó en silencio.</w:t>
      </w:r>
    </w:p>
    <w:p>
      <w:pPr>
        <w:keepNext/>
        <w:keepLines w:val="0"/>
        <w:pageBreakBefore w:val="0"/>
        <w:widowControl/>
        <w:spacing w:before="360" w:after="140" w:line="240" w:lineRule="auto"/>
        <w:ind w:firstLine="0" w:left="0" w:right="0"/>
        <w:jc w:val="left"/>
      </w:pPr>
      <w:r>
        <w:rPr>
          <w:rFonts w:ascii="Noto Serif" w:hAnsi="Noto Serif" w:eastAsia="Noto Serif"/>
          <w:b/>
          <w:i w:val="0"/>
          <w:sz w:val="29"/>
        </w:rPr>
        <w:t>NOTAS</w:t>
      </w:r>
    </w:p>
    <w:p>
      <w:pPr>
        <w:keepNext w:val="0"/>
        <w:keepLines w:val="0"/>
        <w:widowControl/>
        <w:spacing w:after="104" w:line="269" w:lineRule="auto" w:before="30"/>
        <w:ind w:left="142" w:firstLine="0" w:right="85"/>
        <w:jc w:val="both"/>
      </w:pPr>
      <w:r>
        <w:rPr>
          <w:rFonts w:ascii="Noto Serif" w:hAnsi="Noto Serif" w:eastAsia="Noto Serif"/>
          <w:b/>
          <w:sz w:val="21"/>
        </w:rPr>
        <w:t xml:space="preserve">45. </w:t>
      </w:r>
      <w:r>
        <w:rPr>
          <w:rFonts w:ascii="Noto Serif" w:hAnsi="Noto Serif" w:eastAsia="Noto Serif"/>
          <w:b w:val="0"/>
          <w:sz w:val="21"/>
        </w:rPr>
        <w:t>La energía de prāṇa o energía vital se divide en apāna, que se ocupa de la eliminación y va hacia abajo, samāna, de la absorción, vyāna, de la circulación, y udāna, que conecta con los niveles superiores y va hacia arriba.</w:t>
      </w:r>
    </w:p>
    <w:p>
      <w:pPr>
        <w:keepNext w:val="0"/>
        <w:keepLines w:val="0"/>
        <w:widowControl/>
        <w:spacing w:after="104" w:line="269" w:lineRule="auto" w:before="30"/>
        <w:ind w:left="142" w:firstLine="0" w:right="85"/>
        <w:jc w:val="both"/>
      </w:pPr>
      <w:r>
        <w:rPr>
          <w:rFonts w:ascii="Noto Serif" w:hAnsi="Noto Serif" w:eastAsia="Noto Serif"/>
          <w:b/>
          <w:sz w:val="21"/>
        </w:rPr>
        <w:t xml:space="preserve">46. </w:t>
      </w:r>
      <w:r>
        <w:rPr>
          <w:rFonts w:ascii="Noto Serif" w:hAnsi="Noto Serif" w:eastAsia="Noto Serif"/>
          <w:b w:val="0"/>
          <w:sz w:val="21"/>
        </w:rPr>
        <w:t>Yah y Yat, formas neutra y masculina del pronombre «Aquello» se refieren a lo Absoluto. Y al decir que Aquello es el ser de cada individuo, está presentándose la proposición básica de la filosofía vedānta advaita que a veces se ha resumido así: «Tú eres Aquello».</w:t>
      </w:r>
    </w:p>
    <w:p>
      <w:pPr>
        <w:keepNext w:val="0"/>
        <w:keepLines w:val="0"/>
        <w:widowControl/>
        <w:spacing w:after="104" w:line="269" w:lineRule="auto" w:before="30"/>
        <w:ind w:left="142" w:firstLine="0" w:right="85"/>
        <w:jc w:val="both"/>
      </w:pPr>
      <w:r>
        <w:rPr>
          <w:rFonts w:ascii="Noto Serif" w:hAnsi="Noto Serif" w:eastAsia="Noto Serif"/>
          <w:b/>
          <w:sz w:val="21"/>
        </w:rPr>
        <w:t xml:space="preserve">47. </w:t>
      </w:r>
      <w:r>
        <w:rPr>
          <w:rFonts w:ascii="Noto Serif" w:hAnsi="Noto Serif" w:eastAsia="Noto Serif"/>
          <w:b w:val="0"/>
          <w:sz w:val="21"/>
        </w:rPr>
        <w:t>Como remuneración por las enseñanzas de filosofía los maestros como Yājñavalkya solían recibir vacas. Pero sólo si los discípulos veían lo que decía como verdadero. Por eso hace esta referencia Uṣasta a las vacas.</w:t>
      </w:r>
    </w:p>
    <w:p>
      <w:pPr>
        <w:keepNext/>
        <w:keepLines w:val="0"/>
        <w:widowControl/>
        <w:spacing w:before="220" w:after="100" w:line="240" w:lineRule="auto"/>
        <w:ind w:firstLine="0" w:left="0" w:right="0"/>
        <w:jc w:val="left"/>
      </w:pPr>
      <w:r>
        <w:rPr>
          <w:rFonts w:ascii="Noto Serif" w:hAnsi="Noto Serif" w:eastAsia="Noto Serif"/>
          <w:b/>
          <w:i w:val="0"/>
          <w:sz w:val="25"/>
        </w:rPr>
        <w:t>NOTA EDITORIAL DE TRABAJO</w:t>
      </w:r>
    </w:p>
    <w:p>
      <w:pPr>
        <w:keepNext w:val="0"/>
        <w:keepLines w:val="0"/>
        <w:widowControl/>
        <w:spacing w:before="0" w:after="100" w:line="269" w:lineRule="auto"/>
        <w:ind w:firstLine="0" w:left="113" w:right="57"/>
        <w:jc w:val="both"/>
        <w:shd w:val="clear" w:color="auto" w:fill="F7F7F7"/>
      </w:pPr>
      <w:r>
        <w:rPr>
          <w:rFonts w:ascii="Noto Serif" w:hAnsi="Noto Serif" w:eastAsia="Noto Serif"/>
          <w:b w:val="0"/>
          <w:i w:val="0"/>
          <w:color w:val="464646"/>
          <w:sz w:val="20"/>
        </w:rPr>
        <w:t>Se han eliminado artefactos de OCR, recompuesto palabras partidas y normalizado únicamente diacríticos sánscritos inequívocos, sin reescribir la traducción ni el comentario. Se conserva la lectura «institución inmediata» porque así figura impresa en la edición consultada. La separación entre texto de la Upaniṣad y comentario de Śaṅkara sigue la disposición del original.</w:t>
      </w:r>
    </w:p>
    <w:p>
      <w:pPr>
        <w:keepNext w:val="0"/>
        <w:keepLines w:val="0"/>
        <w:widowControl/>
        <w:spacing w:before="0" w:after="100" w:line="269" w:lineRule="auto"/>
        <w:ind w:firstLine="0" w:left="113" w:right="57"/>
        <w:jc w:val="both"/>
        <w:shd w:val="clear" w:color="auto" w:fill="F7F7F7"/>
      </w:pPr>
      <w:r>
        <w:rPr>
          <w:rFonts w:ascii="Noto Serif" w:hAnsi="Noto Serif" w:eastAsia="Noto Serif"/>
          <w:b w:val="0"/>
          <w:i w:val="0"/>
          <w:color w:val="464646"/>
          <w:sz w:val="20"/>
        </w:rPr>
        <w:t>Fuente: Consuelo Martín (ed.), Gran Upanisad del Bosque. Brihadaranyaka Upanisad con los comentarios advaita de Sankara, Trotta, 2002, pp. 261-264 (III.4 termina antes del encabezado del Quinto Brāhmaṇa).</w:t>
      </w:r>
    </w:p>
    <w:sectPr w:rsidR="00FC693F" w:rsidRPr="0006063C" w:rsidSect="00034616">
      <w:headerReference w:type="default" r:id="rId9"/>
      <w:footerReference w:type="default" r:id="rId10"/>
      <w:pgSz w:w="11906" w:h="16838"/>
      <w:pgMar w:top="1077" w:right="1162" w:bottom="1020" w:left="1162"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Noto Serif" w:hAnsi="Noto Serif" w:eastAsia="Noto Serif"/>
        <w:color w:val="5F5F5F"/>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rPr>
        <w:rFonts w:ascii="Noto Serif" w:hAnsi="Noto Serif" w:eastAsia="Noto Serif"/>
        <w:smallCaps/>
        <w:color w:val="696969"/>
        <w:sz w:val="17"/>
      </w:rPr>
      <w:t>BṚHADĀRAṆYAKA UPANIṢAD · III.4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26"/>
      <w:ind w:firstLine="312"/>
      <w:jc w:val="both"/>
    </w:pPr>
    <w:rPr>
      <w:rFonts w:ascii="Noto Serif" w:hAnsi="Noto Serif" w:eastAsia="Noto Serif"/>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Bṛhadāraṇyaka Upaniṣad III.4 · Lo Absoluto incondicionado, tu propio Ser</dc:title>
  <dc:subject>Texto de la Upaniṣad y comentario de Śaṅkara · normalización de trabajo</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