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640" w:after="200"/>
        <w:jc w:val="center"/>
      </w:pPr>
      <w:r>
        <w:rPr>
          <w:rFonts w:ascii="Noto Serif" w:hAnsi="Noto Serif" w:eastAsia="Noto Serif"/>
          <w:b w:val="0"/>
          <w:i w:val="0"/>
          <w:sz w:val="50"/>
        </w:rPr>
        <w:t>Bṛhadāraṇyaka Upaniṣad</w:t>
      </w:r>
    </w:p>
    <w:p>
      <w:pPr>
        <w:keepNext w:val="0"/>
        <w:spacing w:before="0" w:after="520"/>
        <w:jc w:val="center"/>
      </w:pPr>
      <w:r>
        <w:rPr>
          <w:rFonts w:ascii="Noto Serif" w:hAnsi="Noto Serif" w:eastAsia="Noto Serif"/>
          <w:b w:val="0"/>
          <w:i/>
          <w:sz w:val="28"/>
        </w:rPr>
        <w:t>II.2 · La energía vital encarnada</w:t>
      </w:r>
    </w:p>
    <w:p>
      <w:pPr>
        <w:keepNext w:val="0"/>
        <w:spacing w:before="0" w:after="200"/>
        <w:jc w:val="center"/>
      </w:pPr>
      <w:r>
        <w:rPr>
          <w:rFonts w:ascii="Noto Serif" w:hAnsi="Noto Serif" w:eastAsia="Noto Serif"/>
          <w:b w:val="0"/>
          <w:i w:val="0"/>
          <w:sz w:val="23"/>
        </w:rPr>
        <w:t>Texto de la Upaniṣad y comentario de Śaṅkara</w:t>
      </w:r>
    </w:p>
    <w:p>
      <w:pPr>
        <w:keepNext w:val="0"/>
        <w:spacing w:before="0" w:after="0"/>
        <w:jc w:val="center"/>
      </w:pPr>
      <w:r>
        <w:rPr>
          <w:rFonts w:ascii="Noto Serif" w:hAnsi="Noto Serif" w:eastAsia="Noto Serif"/>
          <w:b w:val="0"/>
          <w:i w:val="0"/>
          <w:sz w:val="21"/>
        </w:rPr>
        <w:t>Edición de Consuelo Martín · Trotta, 2002</w:t>
      </w:r>
    </w:p>
    <w:p>
      <w:pPr>
        <w:keepNext w:val="0"/>
        <w:spacing w:before="640" w:after="0"/>
        <w:jc w:val="center"/>
      </w:pPr>
      <w:r>
        <w:rPr>
          <w:rFonts w:ascii="Noto Serif" w:hAnsi="Noto Serif" w:eastAsia="Noto Serif"/>
          <w:b w:val="0"/>
          <w:i/>
          <w:sz w:val="21"/>
        </w:rPr>
        <w:t>Normalización de trabajo</w:t>
      </w:r>
    </w:p>
    <w:p>
      <w:r>
        <w:br w:type="page"/>
      </w:r>
    </w:p>
    <w:p>
      <w:pPr>
        <w:keepNext/>
        <w:spacing w:before="80" w:after="180"/>
        <w:jc w:val="center"/>
      </w:pPr>
      <w:r>
        <w:rPr>
          <w:rFonts w:ascii="Noto Serif" w:hAnsi="Noto Serif" w:eastAsia="Noto Serif"/>
          <w:b w:val="0"/>
          <w:i w:val="0"/>
          <w:sz w:val="22"/>
        </w:rPr>
        <w:t>PRIMER LIBRO · MADHU-KĀṆḌA</w:t>
      </w:r>
    </w:p>
    <w:p>
      <w:pPr>
        <w:keepNext/>
        <w:spacing w:before="0" w:after="160"/>
        <w:jc w:val="center"/>
      </w:pPr>
      <w:r>
        <w:rPr>
          <w:rFonts w:ascii="Noto Serif" w:hAnsi="Noto Serif" w:eastAsia="Noto Serif"/>
          <w:b w:val="0"/>
          <w:i w:val="0"/>
          <w:sz w:val="30"/>
        </w:rPr>
        <w:t>SEGUNDO ADHYĀYA</w:t>
      </w:r>
    </w:p>
    <w:p>
      <w:pPr>
        <w:keepNext/>
        <w:spacing w:before="0" w:after="120"/>
        <w:jc w:val="center"/>
      </w:pPr>
      <w:r>
        <w:rPr>
          <w:rFonts w:ascii="Noto Serif" w:hAnsi="Noto Serif" w:eastAsia="Noto Serif"/>
          <w:b w:val="0"/>
          <w:i w:val="0"/>
          <w:sz w:val="23"/>
        </w:rPr>
        <w:t>SEGUNDO BRĀHMAṆA</w:t>
      </w:r>
    </w:p>
    <w:p>
      <w:pPr>
        <w:keepNext/>
        <w:spacing w:before="0" w:after="300"/>
        <w:jc w:val="center"/>
      </w:pPr>
      <w:r>
        <w:rPr>
          <w:rFonts w:ascii="Noto Serif" w:hAnsi="Noto Serif" w:eastAsia="Noto Serif"/>
          <w:b w:val="0"/>
          <w:i w:val="0"/>
          <w:sz w:val="27"/>
        </w:rPr>
        <w:t>LA ENERGÍA VITAL ENCARNADA</w:t>
      </w:r>
    </w:p>
    <w:p>
      <w:pPr>
        <w:widowControl/>
        <w:spacing w:before="0" w:after="140" w:line="278" w:lineRule="auto"/>
        <w:ind w:firstLine="317"/>
      </w:pPr>
      <w:r>
        <w:rPr>
          <w:rFonts w:ascii="Noto Serif" w:hAnsi="Noto Serif" w:eastAsia="Noto Serif"/>
          <w:b w:val="0"/>
          <w:i w:val="0"/>
          <w:sz w:val="23"/>
        </w:rPr>
        <w:t>La sección anterior ha desarrollado el tema «Él me enseñará sobre Brahman» (II, 1, 15). En este contexto se afirmó que Aquello en lo que se origina el universo, en lo que consiste (mientras dura) y en lo que se disuelve (al final del cielo) es el Absoluto. ¿Cuáles son los constituyentes del universo que se originan y se acaban? Los cinco elementos. Y los elementos constan de nombres y formas. Se ha dicho que a los nombres y las formas se les ha llamado «verdad». Y lo Absoluto es la Verdad de esa verdad que consta de los elementos. En la (tercera) parte que trata del universo denso y sutil se explicará cómo es que a los elementos se les llama «verdad». Son la verdad el cuerpo y los órganos como «energía vital» que consta de los elementos densos y sutiles. Y para definir la naturaleza de esos elementos que forman el cuerpo y los órganos se presenta esta segunda parte y la siguiente. Serán una explicación del nombre secreto «la Verdad de la verdad», ya que lo Absoluto, Verdad de verdades, se descubrirá cuando se descubra que el cuerpo y los órganos son verdaderos. Se ha dicho: «la energía vital es verdad, y Aquello es la Verdad de esa energía» (II, 1, 20). Aquí, para explicar en qué consiste la energía vital y cuántos y cuáles son sus secretos, se describe la naturaleza de la energía vital, que es un instrumento del ser, mientras se describe el nombre secreto del Absoluto, lo mismo que las noticias de un viaje a colinas, parques, a lo largo del camino.</w:t>
      </w:r>
    </w:p>
    <w:p>
      <w:pPr>
        <w:spacing w:before="160" w:after="220" w:line="288" w:lineRule="auto"/>
        <w:ind w:left="255" w:firstLine="0"/>
      </w:pPr>
      <w:r>
        <w:rPr>
          <w:rFonts w:ascii="Noto Serif" w:hAnsi="Noto Serif" w:eastAsia="Noto Serif"/>
          <w:b w:val="0"/>
          <w:i/>
          <w:sz w:val="24"/>
        </w:rPr>
        <w:t>1. Quien conoce al recién nacido ternero en su morada, su refugio, su poste y su cuerda, mata a sus siete deudos envidiosos. La energía vital en el cuerpo es el recién nacido, el cuerpo es su morada, y la cabeza es su especial refugio, la fuerza es su poste y el alimento su cuerda.</w:t>
      </w:r>
    </w:p>
    <w:p>
      <w:pPr>
        <w:widowControl/>
        <w:spacing w:before="0" w:after="140" w:line="278" w:lineRule="auto"/>
        <w:ind w:firstLine="317"/>
      </w:pPr>
      <w:r>
        <w:rPr>
          <w:rFonts w:ascii="Noto Serif" w:hAnsi="Noto Serif" w:eastAsia="Noto Serif"/>
          <w:b w:val="0"/>
          <w:i w:val="0"/>
          <w:sz w:val="23"/>
        </w:rPr>
        <w:t>Quien conoce ese recién nacido en su morada [...] ¿qué resultado tiene? Mata a sus siete deudos. Hay dos clases de parientes: los que tienen envidia y los que no la tienen. Éstos son de los primeros. Los siete órganos, los instrumentos para percibir los objetos, están en la cabeza, es decir, son los que producen el apego a los objetos sensoriales, son los parientes, ya que nacen con la persona. Y como desvían la visión que viene del ser a los objetos sensoriales, son envidiosos parientes, que ocultan al propio ser. En Katha Upanisad se dice: «El Ser que existe por sí mismo traspasó las puertas de los sentidos. Por eso vemos lo exterior y no lo interno, el propio Ser» (II, 1, 1). Quien conoce al ternero y lo demás entiende cuál es su verdadera naturaleza y aparta de la vida o mata a esos parientes envidiosos. Y cuando el aspirante al escuchar estos resultados se inclina a conocer más sobre ello, las escrituras le dicen: El recién nacido es la energía vital que está en el cuerpo como «cuerpo sutil», le penetra en cinco formas y es llamada «grande», «vestido de blanco», «radiante, soma» (II, 1, 15). En ella los órganos como el del lenguaje y la mente permanecen, como sabemos por el ejemplo del palo al que se atan los caballos. Es como un ternero recién nacido que no ha sido tocado aún por los objetos sensoriales como los demás órganos. Se ha mencionado al ternero y su morada. Pero ¿cuál es su morada, ese instrumento del Ser, de la energía vital que aquí se compara con el recién nacido? El cuerpo es su morada. Una morada es aquello en lo que algo se coloca.</w:t>
      </w:r>
    </w:p>
    <w:p>
      <w:pPr>
        <w:widowControl/>
        <w:spacing w:before="0" w:after="140" w:line="278" w:lineRule="auto"/>
        <w:ind w:firstLine="317"/>
      </w:pPr>
      <w:r>
        <w:rPr>
          <w:rFonts w:ascii="Noto Serif" w:hAnsi="Noto Serif" w:eastAsia="Noto Serif"/>
          <w:b w:val="0"/>
          <w:i w:val="0"/>
          <w:sz w:val="23"/>
        </w:rPr>
        <w:t>El cuerpo es la morada de la energía vital porque estando en él los órganos funcionan como canales de percepción y no lo hacen si se quedan en la energía vital. Esto ha sido demostrado por Ajātaśatru de la siguiente manera: Cuando los órganos se van, el ser individual no capta nada. Y sólo cuando ellos ocupan su lugar en el cuerpo el ser individual percibe las cosas. Esto queda probado por el hombre que duerme y es despertado al empujarle con la mano. La cabeza es su refugio especial. Se llama así por estar la energía vital conectada con zonas particulares de (la cabeza). La fuerza, el poder que surge a partir del alimento y la bebida, es su poste. Prāṇa y bala son sinónimos, ya que la energía vital habita en el cuerpo y se mantiene por la fuerza. Es lo que se niega en el texto escritural «Cuando el ser humano parece que se debilita y pierde el sentido» (IV, 4, 1). Lo mismo que un ternero se ata a un poste así se ata la energía vital por la fuerza. Algunos entienden que la fuerza de la respiración que funciona en el cuerpo es el poste. Y el alimento es la atadura. El alimento que comemos se transforma de tres maneras. La más densa es eliminada del cuerpo y absorbida por la tierra. La intermedia pasa por los estados de sangre, etc., y nutre sus efectos, el cuerpo denso compuesto por siete ingredientes. El cuerpo se nutre por asimilación de sus causas, el alimento que es el producto de la comida. Y cuando sucede al revés decae y muerte. La más sutil forma (del alimento) llamada «néctar» y «alto poder» atraviesa el nervio del corazón y penetra en los setenta y dos nervios que irradian a partir de ahí, generando una fuerza simbolizada aquí por el poste. Y además mantiene al cuerpo sutil, el conjunto de los órganos internos, aquí el ternerito que está en el cuerpo físico. Por tanto el alimento es la demarcación entre la energía vital y el cuerpo como el ternero amarrado con un lazo con una finalidad. Se han nombrado ciertos nombres secretos que se refieren al ternero recién nacido que vive en su refugio especial.</w:t>
      </w:r>
    </w:p>
    <w:p>
      <w:pPr>
        <w:spacing w:before="160" w:after="220" w:line="288" w:lineRule="auto"/>
        <w:ind w:left="255" w:firstLine="0"/>
      </w:pPr>
      <w:r>
        <w:rPr>
          <w:rFonts w:ascii="Noto Serif" w:hAnsi="Noto Serif" w:eastAsia="Noto Serif"/>
          <w:b w:val="0"/>
          <w:i/>
          <w:sz w:val="24"/>
        </w:rPr>
        <w:t>2. Los siete dioses que no perecen</w:t>
      </w:r>
      <w:r>
        <w:rPr>
          <w:rFonts w:ascii="Noto Serif" w:hAnsi="Noto Serif" w:eastAsia="Noto Serif"/>
          <w:b w:val="0"/>
          <w:i w:val="0"/>
          <w:sz w:val="24"/>
          <w:vertAlign w:val="superscript"/>
        </w:rPr>
        <w:t>26</w:t>
      </w:r>
      <w:r>
        <w:rPr>
          <w:rFonts w:ascii="Noto Serif" w:hAnsi="Noto Serif" w:eastAsia="Noto Serif"/>
          <w:b w:val="0"/>
          <w:i/>
          <w:sz w:val="24"/>
        </w:rPr>
        <w:t xml:space="preserve"> le adoran. Mediante esas líneas rosadas en el ojo Rudra le atiende, por el agua del ojo Parjanya, por la pupila Āditya (el sol), por la parte oscura Agni (el fuego), por la parte blanca Indra, por las pestañas la Tierra y por las cejas el Cielo. A quien sabe esto nunca la falta el alimento.</w:t>
      </w:r>
    </w:p>
    <w:p>
      <w:pPr>
        <w:widowControl/>
        <w:spacing w:before="0" w:after="140" w:line="278" w:lineRule="auto"/>
        <w:ind w:firstLine="317"/>
      </w:pPr>
      <w:r>
        <w:rPr>
          <w:rFonts w:ascii="Noto Serif" w:hAnsi="Noto Serif" w:eastAsia="Noto Serif"/>
          <w:b w:val="0"/>
          <w:i w:val="0"/>
          <w:sz w:val="23"/>
        </w:rPr>
        <w:t>Los siete dioses que evitan la decadencia se enumeran aquí y son adorados por la energía vital, el instrumento que se encuentra en el cuerpo gracias al alimento, el que reside en el ojo. Aquí los siete nombres de los dioses son instrumentales; son mantra</w:t>
      </w:r>
      <w:r>
        <w:rPr>
          <w:rFonts w:ascii="Noto Serif" w:hAnsi="Noto Serif" w:eastAsia="Noto Serif"/>
          <w:b w:val="0"/>
          <w:i w:val="0"/>
          <w:sz w:val="16"/>
          <w:vertAlign w:val="superscript"/>
        </w:rPr>
        <w:t>27</w:t>
      </w:r>
      <w:r>
        <w:rPr>
          <w:rFonts w:ascii="Noto Serif" w:hAnsi="Noto Serif" w:eastAsia="Noto Serif"/>
          <w:b w:val="0"/>
          <w:i w:val="0"/>
          <w:sz w:val="23"/>
        </w:rPr>
        <w:t xml:space="preserve"> para el que ora. Se enumeran los dioses que evitan la decadencia. Rudra ora por esas familiares líneas rosas en el ojo que le sirven de ayuda, esas que surgen por el contacto (del ojo) con el humo. Parjanya hace oración a la energía vital y es su alimento y la causa de su permanencia. Encontramos esto mismo en otro texto escritural: «Cuando Parjanya provoca la lluvia, la energía vital se alegra». Mediante la pupila que tiene el poder de brillar el Sol ora a la energía vital. Por la parte oscura del ojo es el Fuego el que ora, por la parte blanca es Indra. Por las pestañas es la Tierra, ya que ambos ocupan un lugar inferior, y por las cejas el Cielo, pues los dos ocupan un lugar superior. Quien conoce esto de esta manera, quien sabe que esos siete dioses que son alimento de la energía vital oran constantemente por ella, obtiene como resultado el que nunca le falte el alimento.</w:t>
      </w:r>
    </w:p>
    <w:p>
      <w:pPr>
        <w:spacing w:before="160" w:after="220" w:line="288" w:lineRule="auto"/>
        <w:ind w:left="255" w:firstLine="0"/>
      </w:pPr>
      <w:r>
        <w:rPr>
          <w:rFonts w:ascii="Noto Serif" w:hAnsi="Noto Serif" w:eastAsia="Noto Serif"/>
          <w:b w:val="0"/>
          <w:i/>
          <w:sz w:val="24"/>
        </w:rPr>
        <w:t>3. Acerca de este tema hay unos expresivos versos: Existe un cuenco con la apertura abajo y el fondo arriba. Varias clases de conocimientos se han colocado en ella. Siete sabios se sientan en su borde y el órgano de la palabra, el octavo, está en comunicación con los Vedas. La taza abierta abajo y con el fondo arriba es nuestra cabeza, que tiene esas características. Varias clases de conocimiento se han colocado en ella, los órganos contienen estos conocimientos. Siete sabios se sientan en su borde hace referencia a los órganos como los sabios. El órgano de la palabra que está en comunicación con los Vedas es el octavo, ya que el lenguaje es el octavo y tiene esa comunicación.</w:t>
      </w:r>
    </w:p>
    <w:p>
      <w:pPr>
        <w:widowControl/>
        <w:spacing w:before="0" w:after="140" w:line="278" w:lineRule="auto"/>
        <w:ind w:firstLine="317"/>
      </w:pPr>
      <w:r>
        <w:rPr>
          <w:rFonts w:ascii="Noto Serif" w:hAnsi="Noto Serif" w:eastAsia="Noto Serif"/>
          <w:b w:val="0"/>
          <w:i w:val="0"/>
          <w:sz w:val="23"/>
        </w:rPr>
        <w:t>Los siguientes expresivos versos se refieren a este tema: «Existe un cuenco...». Las mismas escrituras explican el verso a continuación. ¿Cuál es el cuenco? Nuestra cabeza dispuesta según la descripción. «Varias clases de conocimiento...». Lo mismo que se pone el jugo del soma en un cuenco, así se han colocado varios conocimientos en la cabeza. Los órganos, el oído, la energía vital distribuida entre ellos en siete formas representa varias clases de conocimiento porque son la causa de la percepción del sonido y demás. Esto es lo que el verso quiere decir con los siete sabios sentados en el borde. Se refiere a los órganos que tienen una naturaleza vibratoria. Y el órgano de la palabra, que se comunica con los Vedas, es el octavo órgano.</w:t>
      </w:r>
    </w:p>
    <w:p>
      <w:pPr>
        <w:spacing w:before="160" w:after="220" w:line="288" w:lineRule="auto"/>
        <w:ind w:left="255" w:firstLine="0"/>
      </w:pPr>
      <w:r>
        <w:rPr>
          <w:rFonts w:ascii="Noto Serif" w:hAnsi="Noto Serif" w:eastAsia="Noto Serif"/>
          <w:b w:val="0"/>
          <w:i/>
          <w:sz w:val="24"/>
        </w:rPr>
        <w:t>4. Los dos (oídos) son Gotama y Bharadvāja, (los rishis), uno a la derecha y otro a la izquierda</w:t>
      </w:r>
      <w:r>
        <w:rPr>
          <w:rFonts w:ascii="Noto Serif" w:hAnsi="Noto Serif" w:eastAsia="Noto Serif"/>
          <w:b w:val="0"/>
          <w:i w:val="0"/>
          <w:sz w:val="24"/>
          <w:vertAlign w:val="superscript"/>
        </w:rPr>
        <w:t>28</w:t>
      </w:r>
      <w:r>
        <w:rPr>
          <w:rFonts w:ascii="Noto Serif" w:hAnsi="Noto Serif" w:eastAsia="Noto Serif"/>
          <w:b w:val="0"/>
          <w:i/>
          <w:sz w:val="24"/>
        </w:rPr>
        <w:t>. Los dos (ojos) son Viśvāmitra y Jamadagni, respectivamente. Los dos orificios de la nariz son Vasiṣṭha y Kaśyapa. La lengua es atri, porque con ella se ingiere el alimento. Atri tiene el nombre de atti (comer). Quien conoce esto así, se alimenta de todo y todas las cosas son su alimento.</w:t>
      </w:r>
    </w:p>
    <w:p>
      <w:pPr>
        <w:widowControl/>
        <w:spacing w:before="0" w:after="140" w:line="278" w:lineRule="auto"/>
        <w:ind w:firstLine="317"/>
      </w:pPr>
      <w:r>
        <w:rPr>
          <w:rFonts w:ascii="Noto Serif" w:hAnsi="Noto Serif" w:eastAsia="Noto Serif"/>
          <w:b w:val="0"/>
          <w:i w:val="0"/>
          <w:sz w:val="23"/>
        </w:rPr>
        <w:t>¿Quiénes son los sabios que están sentados al borde del cuenco? Son Gotama y Bharadvāja. Gotama a la derecha y el otro a la izquierda o a la inversa. Y lo mismo cuando el texto se refiere a los ojos, el de la derecha es Viśvāmitra y el de la izquierda Jamadagni, o a la inversa. Respecto a los orificios nasales el texto señala: el derecho es Vasiṣṭha y el izquierdo Kaśyapa, o a la inversa como antes. La lengua es atri, por relación al acto de comer. Éste es el séptimo sabio, ya que se introduce el alimento mediante la boca. Por eso se llama indirectamente atri, que no es sino el familiar nombre atti (comer), porque es el que se alimenta. Por la meditación en la derivación de la palabra atri se puede alimentar alguien de todas las clases de alimentos que pertenecen a la energía vital. Y en el otro mundo se llegará a ser el que se alimenta y no será tratado como simple alimento. Esto es lo que quiere decir la frase «Y todas las cosas son su alimento». El que conoce esto, el que conoce la verdadera naturaleza de la energía vital tal como se describe arriba, llega a ser la energía vital en el cuerpo y será el que se alimenta en relación a la morada y especial refugio y no alimento. Quiere decir que estará completamente fuera de la categoría de alimento.</w:t>
      </w:r>
    </w:p>
    <w:p>
      <w:pPr>
        <w:keepNext/>
        <w:spacing w:before="280" w:after="140"/>
      </w:pPr>
      <w:r>
        <w:rPr>
          <w:rFonts w:ascii="Noto Serif" w:hAnsi="Noto Serif" w:eastAsia="Noto Serif"/>
          <w:b/>
          <w:i w:val="0"/>
          <w:sz w:val="21"/>
        </w:rPr>
        <w:t>NOTAS</w:t>
      </w:r>
    </w:p>
    <w:p>
      <w:pPr>
        <w:spacing w:after="100" w:line="252" w:lineRule="auto"/>
        <w:ind w:left="283" w:hanging="227"/>
      </w:pPr>
      <w:r>
        <w:rPr>
          <w:rFonts w:ascii="Noto Serif" w:hAnsi="Noto Serif" w:eastAsia="Noto Serif"/>
          <w:b/>
          <w:i w:val="0"/>
          <w:sz w:val="18"/>
        </w:rPr>
        <w:t xml:space="preserve">26.  </w:t>
      </w:r>
      <w:r>
        <w:rPr>
          <w:rFonts w:ascii="Noto Serif" w:hAnsi="Noto Serif" w:eastAsia="Noto Serif"/>
          <w:b w:val="0"/>
          <w:i w:val="0"/>
          <w:sz w:val="18"/>
        </w:rPr>
        <w:t>Que son imperecederos ellos mismos (literalmente) y así mantienen lo creado sin que decaiga.</w:t>
      </w:r>
    </w:p>
    <w:p>
      <w:pPr>
        <w:spacing w:after="100" w:line="252" w:lineRule="auto"/>
        <w:ind w:left="283" w:hanging="227"/>
      </w:pPr>
      <w:r>
        <w:rPr>
          <w:rFonts w:ascii="Noto Serif" w:hAnsi="Noto Serif" w:eastAsia="Noto Serif"/>
          <w:b/>
          <w:i w:val="0"/>
          <w:sz w:val="18"/>
        </w:rPr>
        <w:t xml:space="preserve">27.  </w:t>
      </w:r>
      <w:r>
        <w:rPr>
          <w:rFonts w:ascii="Noto Serif" w:hAnsi="Noto Serif" w:eastAsia="Noto Serif"/>
          <w:b w:val="0"/>
          <w:i w:val="0"/>
          <w:sz w:val="18"/>
        </w:rPr>
        <w:t>Verso o palabra sagrada. Se repetían para identificarse con el tipo de energía al que correspondía. Importaba el sonido y el significado.</w:t>
      </w:r>
    </w:p>
    <w:p>
      <w:pPr>
        <w:spacing w:after="100" w:line="252" w:lineRule="auto"/>
        <w:ind w:left="283" w:hanging="227"/>
      </w:pPr>
      <w:r>
        <w:rPr>
          <w:rFonts w:ascii="Noto Serif" w:hAnsi="Noto Serif" w:eastAsia="Noto Serif"/>
          <w:b/>
          <w:i w:val="0"/>
          <w:sz w:val="18"/>
        </w:rPr>
        <w:t xml:space="preserve">28.  </w:t>
      </w:r>
      <w:r>
        <w:rPr>
          <w:rFonts w:ascii="Noto Serif" w:hAnsi="Noto Serif" w:eastAsia="Noto Serif"/>
          <w:b w:val="0"/>
          <w:i w:val="0"/>
          <w:sz w:val="18"/>
        </w:rPr>
        <w:t>En el texto simplemente se señala «éste es Gotama», etc., porque conserva aún su formulación oral.</w:t>
      </w:r>
    </w:p>
    <w:p>
      <w:pPr>
        <w:keepNext/>
        <w:spacing w:before="280" w:after="100"/>
      </w:pPr>
      <w:r>
        <w:rPr>
          <w:rFonts w:ascii="Noto Serif" w:hAnsi="Noto Serif" w:eastAsia="Noto Serif"/>
          <w:b/>
          <w:i w:val="0"/>
          <w:sz w:val="21"/>
        </w:rPr>
        <w:t>NOTA EDITORIAL DE TRABAJO</w:t>
      </w:r>
    </w:p>
    <w:p>
      <w:pPr>
        <w:spacing w:after="80"/>
      </w:pPr>
      <w:r>
        <w:rPr>
          <w:rFonts w:ascii="Noto Serif" w:hAnsi="Noto Serif" w:eastAsia="Noto Serif"/>
          <w:b w:val="0"/>
          <w:i/>
          <w:sz w:val="19"/>
        </w:rPr>
        <w:t>Se han eliminado artefactos de OCR, recompuesto palabras partidas y normalizado diacríticos sánscritos claros, sin reescribir la traducción ni el comentario. Se conservan las lecturas impresas «al final del cielo», «decae y muerte» y «nunca la falta el alimento», tal como aparecen en la edición fuente.</w:t>
      </w:r>
    </w:p>
    <w:p>
      <w:r>
        <w:rPr>
          <w:rFonts w:ascii="Noto Serif" w:hAnsi="Noto Serif" w:eastAsia="Noto Serif"/>
          <w:b w:val="0"/>
          <w:i w:val="0"/>
          <w:sz w:val="18"/>
        </w:rPr>
        <w:t>Fuente: Consuelo Martín (ed.), Gran Upanisad del Bosque. Brihadaranyaka Upanisad con los comentarios advaita de Sankara, Trotta, 2002, pp. 189-192.</w:t>
      </w:r>
    </w:p>
    <w:sectPr w:rsidR="00FC693F" w:rsidRPr="0006063C" w:rsidSect="00034616">
      <w:headerReference w:type="default" r:id="rId9"/>
      <w:pgSz w:w="11906" w:h="16838"/>
      <w:pgMar w:top="1134" w:right="1276" w:bottom="1077"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sz w:val="17"/>
      </w:rPr>
      <w:t>BṚHADĀRAṆYAKA UPANIṢAD · II.2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II.2 · La energía vital encarnada</dc:title>
  <dc:subject>Texto de la Upaniṣad y comentario de Śaṅkara. Edición de Consuelo Martín.</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