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60"/>
        <w:jc w:val="center"/>
      </w:pPr>
      <w:r>
        <w:rPr>
          <w:rFonts w:ascii="Noto Serif" w:hAnsi="Noto Serif" w:eastAsia="Noto Serif"/>
          <w:sz w:val="50"/>
        </w:rPr>
        <w:t>Bṛhadāraṇyaka Upaniṣad</w:t>
      </w:r>
    </w:p>
    <w:p>
      <w:pPr>
        <w:jc w:val="center"/>
      </w:pPr>
      <w:r>
        <w:rPr>
          <w:rFonts w:ascii="Noto Serif" w:hAnsi="Noto Serif" w:eastAsia="Noto Serif"/>
          <w:i/>
          <w:sz w:val="30"/>
        </w:rPr>
        <w:t>I.2 · El origen del universo</w:t>
      </w:r>
    </w:p>
    <w:p>
      <w:pPr>
        <w:spacing w:before="360"/>
        <w:jc w:val="center"/>
      </w:pPr>
      <w:r>
        <w:rPr>
          <w:rFonts w:ascii="Noto Serif" w:hAnsi="Noto Serif" w:eastAsia="Noto Serif"/>
          <w:sz w:val="23"/>
        </w:rPr>
        <w:t>Texto de la Upaniṣad y comentario de Śaṅkara</w:t>
      </w:r>
    </w:p>
    <w:p>
      <w:pPr>
        <w:jc w:val="center"/>
      </w:pPr>
      <w:r>
        <w:rPr>
          <w:rFonts w:ascii="Noto Serif" w:hAnsi="Noto Serif" w:eastAsia="Noto Serif"/>
          <w:sz w:val="21"/>
        </w:rPr>
        <w:t>Edición de Consuelo Martín · Trotta, 2002</w:t>
      </w:r>
    </w:p>
    <w:p>
      <w:pPr>
        <w:spacing w:before="1800"/>
        <w:jc w:val="center"/>
      </w:pPr>
      <w:r>
        <w:rPr>
          <w:rFonts w:ascii="Noto Serif" w:hAnsi="Noto Serif" w:eastAsia="Noto Serif"/>
          <w:i/>
          <w:sz w:val="21"/>
        </w:rPr>
        <w:t>Normalización de trabajo</w:t>
      </w:r>
    </w:p>
    <w:p>
      <w:r>
        <w:br w:type="page"/>
      </w:r>
    </w:p>
    <w:p>
      <w:pPr>
        <w:keepNext/>
        <w:spacing w:before="120" w:after="100"/>
        <w:jc w:val="center"/>
      </w:pPr>
      <w:r>
        <w:rPr>
          <w:rFonts w:ascii="Noto Serif" w:hAnsi="Noto Serif" w:eastAsia="Noto Serif"/>
          <w:sz w:val="22"/>
        </w:rPr>
        <w:t>PRIMER LIBRO · MADHU-KĀṆḌA</w:t>
      </w:r>
    </w:p>
    <w:p>
      <w:pPr>
        <w:keepNext/>
        <w:spacing w:before="220" w:after="100"/>
        <w:jc w:val="center"/>
      </w:pPr>
      <w:r>
        <w:rPr>
          <w:rFonts w:ascii="Noto Serif" w:hAnsi="Noto Serif" w:eastAsia="Noto Serif"/>
          <w:sz w:val="30"/>
        </w:rPr>
        <w:t>PRIMER ADHYĀYA</w:t>
      </w:r>
    </w:p>
    <w:p>
      <w:pPr>
        <w:keepNext/>
        <w:spacing w:before="120" w:after="100"/>
        <w:jc w:val="center"/>
      </w:pPr>
      <w:r>
        <w:rPr>
          <w:rFonts w:ascii="Noto Serif" w:hAnsi="Noto Serif" w:eastAsia="Noto Serif"/>
          <w:sz w:val="23"/>
        </w:rPr>
        <w:t>SEGUNDO BRĀHMAṆA</w:t>
      </w:r>
    </w:p>
    <w:p>
      <w:pPr>
        <w:keepNext/>
        <w:spacing w:before="220" w:after="100"/>
        <w:jc w:val="center"/>
      </w:pPr>
      <w:r>
        <w:rPr>
          <w:rFonts w:ascii="Noto Serif" w:hAnsi="Noto Serif" w:eastAsia="Noto Serif"/>
          <w:sz w:val="27"/>
        </w:rPr>
        <w:t>EL ORIGEN DEL UNIVERSO</w:t>
      </w:r>
    </w:p>
    <w:p>
      <w:pPr>
        <w:keepLines/>
        <w:spacing w:before="160" w:after="240" w:line="288" w:lineRule="auto"/>
        <w:ind w:left="255" w:right="198" w:firstLine="0"/>
      </w:pPr>
      <w:r>
        <w:rPr>
          <w:rFonts w:ascii="Noto Serif" w:hAnsi="Noto Serif" w:eastAsia="Noto Serif"/>
          <w:i/>
          <w:sz w:val="24"/>
        </w:rPr>
        <w:t>1. En el principio no existía nada aquí. Esto estaba cubierto solamente por la muerte, o el hambre, puesto que el hambre es la muerte. Y creó la mente, pensando: «Que tenga yo mente». Andaba de un lado para otro haciendo adoración, cuando surgió el agua. Entonces pensó: Si mientras estaba en adoración (arkate) salió el agua, se la llamará arka (fuego). Y el agua de la felicidad llega con certeza a quien sabe por qué el agua llegó a tener el nombre de fuego.</w:t>
      </w:r>
    </w:p>
    <w:p>
      <w:pPr>
        <w:spacing w:after="140" w:line="278" w:lineRule="auto"/>
        <w:ind w:firstLine="312"/>
      </w:pPr>
      <w:r>
        <w:rPr>
          <w:rFonts w:ascii="Noto Serif" w:hAnsi="Noto Serif" w:eastAsia="Noto Serif"/>
          <w:i w:val="0"/>
          <w:sz w:val="23"/>
        </w:rPr>
        <w:t>Ahora se describe el origen del fuego que es apto para su utilización en el sacrificio del caballo. Esta historia de su origen pretende presentarse como elogio a fin de definir una meditación que la abarque. No existía absolutamente nada diferenciado como nombre y forma en el universo, al comienzo, con anterioridad a la manifestación de la mente.</w:t>
      </w:r>
    </w:p>
    <w:p>
      <w:pPr>
        <w:spacing w:after="140" w:line="278" w:lineRule="auto"/>
        <w:ind w:firstLine="312"/>
      </w:pPr>
      <w:r>
        <w:rPr>
          <w:rFonts w:ascii="Noto Serif" w:hAnsi="Noto Serif" w:eastAsia="Noto Serif"/>
          <w:i w:val="0"/>
          <w:sz w:val="23"/>
        </w:rPr>
        <w:t>Pregunta: ¿Era total el vacío?</w:t>
      </w:r>
    </w:p>
    <w:p>
      <w:pPr>
        <w:spacing w:after="140" w:line="278" w:lineRule="auto"/>
        <w:ind w:firstLine="312"/>
      </w:pPr>
      <w:r>
        <w:rPr>
          <w:rFonts w:ascii="Noto Serif" w:hAnsi="Noto Serif" w:eastAsia="Noto Serif"/>
          <w:i w:val="0"/>
          <w:sz w:val="23"/>
        </w:rPr>
        <w:t>Opinión nihilista: Tuvo que ser así, puesto que la tradición védica dice: «No había absolutamente nada aquí». No hubo ni causa, ni efecto. Otra razón de esta conclusión es el hecho del origen. Una jarra, por ejemplo, es el producto de una elaboración. Por ello, antes de su origen, tuvo que ser inexistente.</w:t>
      </w:r>
    </w:p>
    <w:p>
      <w:pPr>
        <w:spacing w:after="140" w:line="278" w:lineRule="auto"/>
        <w:ind w:firstLine="312"/>
      </w:pPr>
      <w:r>
        <w:rPr>
          <w:rFonts w:ascii="Noto Serif" w:hAnsi="Noto Serif" w:eastAsia="Noto Serif"/>
          <w:i w:val="0"/>
          <w:sz w:val="23"/>
        </w:rPr>
        <w:t>Objeta el lógico: Pero no puede ser inexistente la causa, puesto que podemos ver la masa de arcilla, por ejemplo (antes de elaborar la jarra). Lo que no se percibe, bien puede ser inexistente, como sucede aquí con el efecto. Pero no es así con la causa, puesto que ésta se percibe.</w:t>
      </w:r>
    </w:p>
    <w:p>
      <w:pPr>
        <w:spacing w:after="140" w:line="278" w:lineRule="auto"/>
        <w:ind w:firstLine="312"/>
      </w:pPr>
      <w:r>
        <w:rPr>
          <w:rFonts w:ascii="Noto Serif" w:hAnsi="Noto Serif" w:eastAsia="Noto Serif"/>
          <w:i w:val="0"/>
          <w:sz w:val="23"/>
        </w:rPr>
        <w:t>El nihilista: No, porque antes del origen nada se percibe. Si la no-percepción de algo es la razón de su inexistencia, entonces, antes del origen de todo el universo, no se percibe ni la causa ni el efecto. Por ello, todo tuvo que ser inexistente.</w:t>
      </w:r>
    </w:p>
    <w:p>
      <w:pPr>
        <w:spacing w:after="140" w:line="278" w:lineRule="auto"/>
        <w:ind w:firstLine="312"/>
      </w:pPr>
      <w:r>
        <w:rPr>
          <w:rFonts w:ascii="Noto Serif" w:hAnsi="Noto Serif" w:eastAsia="Noto Serif"/>
          <w:i w:val="0"/>
          <w:sz w:val="23"/>
        </w:rPr>
        <w:t>Respuesta del vedantín: No es así, puesto que la tradición védica dice: «Estaba cubierto solamente por la muerte». Si no hubiera habido absolutamente nada, ni para cubrir, ni para cubrirse, entonces la tradición no hubiese dicho: «Estaba cubierto por la muerte». Nunca ocurre que el hijo de una mujer infértil se cubra con flores que brotan del cielo. Y sin embargo, dice la tradición: «Estaba cubierto solamente por la muerte». Por ello, de acuerdo con su autoridad, podemos llegar a la conclusión de que tanto la causa que cubrió, como el efecto que fue cubierto, existían con anterioridad al origen del universo. La inferencia también apunta hacia esta conclusión. Podemos inferir la existencia de la causa y el efecto antes de la creación. Así observamos que el efecto positivo provocado tendrá lugar exclusivamente cuando exista una causa, y no cuando no exista. De allí inferimos que también la causa del universo tuvo que existir antes de la creación, al igual que la causa de una jarra, por ejemplo.</w:t>
      </w:r>
    </w:p>
    <w:p>
      <w:pPr>
        <w:spacing w:after="140" w:line="278" w:lineRule="auto"/>
        <w:ind w:firstLine="312"/>
      </w:pPr>
      <w:r>
        <w:rPr>
          <w:rFonts w:ascii="Noto Serif" w:hAnsi="Noto Serif" w:eastAsia="Noto Serif"/>
          <w:i w:val="0"/>
          <w:sz w:val="23"/>
        </w:rPr>
        <w:t>Objeción: La causa de una jarra no preexiste tampoco, ya que la jarra no se elabora si no es por medio de la destrucción del ladrillo de arcilla. Y lo mismo podemos decir para otras cosas.</w:t>
      </w:r>
    </w:p>
    <w:p>
      <w:pPr>
        <w:spacing w:after="140" w:line="278" w:lineRule="auto"/>
        <w:ind w:firstLine="312"/>
      </w:pPr>
      <w:r>
        <w:rPr>
          <w:rFonts w:ascii="Noto Serif" w:hAnsi="Noto Serif" w:eastAsia="Noto Serif"/>
          <w:i w:val="0"/>
          <w:sz w:val="23"/>
        </w:rPr>
        <w:t>El vedantín responde: No es así, puesto que la arcilla (u otro material) es la causa. La arcilla es la causa de la jarra, y el oro lo es del collar, en lugar de la forma concreta del material en un ladrillo, puesto que aquéllos existen sin ella. Vemos que los efectos, como la jarra y el collar, se producen simplemente cuando están presentes sus materiales, la arcilla y oro, aunque puede estar ausente la forma de la masa. Consiguientemente, esta forma en concreto no es la causa de la jarra y del collar. En cambio, si están ausentes la arcilla y el oro, no se producen la jarra y collar, lo cual nos demuestra que la causa son estos materiales, arcilla y oro, y que no lo es la forma de la masa. Siempre que una causa produce un efecto, lo hace construyendo otro efecto que produjo un poco antes, puesto que una misma causa no puede producir más de un efecto a la vez. Pero la causa, al destruir el efecto anterior, no se destruye a sí misma. Por consiguiente, el hecho de que se produzca un efecto mediante la destrucción del efecto anterior, el ladrillo por ejemplo, no es razón válida para refutar que la causa existiera antes de producirse el efecto.</w:t>
      </w:r>
    </w:p>
    <w:p>
      <w:pPr>
        <w:spacing w:after="140" w:line="278" w:lineRule="auto"/>
        <w:ind w:firstLine="312"/>
      </w:pPr>
      <w:r>
        <w:rPr>
          <w:rFonts w:ascii="Noto Serif" w:hAnsi="Noto Serif" w:eastAsia="Noto Serif"/>
          <w:i w:val="0"/>
          <w:sz w:val="23"/>
        </w:rPr>
        <w:t>El objetor continúa diciendo: Eso no es correcto, ya que la arcilla, o lo que sea, no puede existir si no es en la masa, o lo que sea. En otras palabras, no se puede decir que la causa, la arcilla, por ejemplo, no queda destruida cuando lo está su efecto anterior, es decir, la masa o cualquier otra forma, sino que se transforma en algún otro efecto, como es la jarra. Y es así porque la causa, la arcilla o similar, no se percibe aparte del ladrillo o la jarra.</w:t>
      </w:r>
    </w:p>
    <w:p>
      <w:pPr>
        <w:spacing w:after="140" w:line="278" w:lineRule="auto"/>
        <w:ind w:firstLine="312"/>
      </w:pPr>
      <w:r>
        <w:rPr>
          <w:rFonts w:ascii="Noto Serif" w:hAnsi="Noto Serif" w:eastAsia="Noto Serif"/>
          <w:i w:val="0"/>
          <w:sz w:val="23"/>
        </w:rPr>
        <w:t>Respuesta del vedantín: No estamos de acuerdo, ya que observamos que persisten dichas causas, la arcilla, etc., incluso después de que se haya elaborado la jarra y otros productos, mientras que ha desaparecido el ladrillo y otra forma.</w:t>
      </w:r>
    </w:p>
    <w:p>
      <w:pPr>
        <w:spacing w:after="140" w:line="278" w:lineRule="auto"/>
        <w:ind w:firstLine="312"/>
      </w:pPr>
      <w:r>
        <w:rPr>
          <w:rFonts w:ascii="Noto Serif" w:hAnsi="Noto Serif" w:eastAsia="Noto Serif"/>
          <w:i w:val="0"/>
          <w:sz w:val="23"/>
        </w:rPr>
        <w:t>El objetor afirma: La persistencia que se observa obedece a la similitud, y no a lo que es la persistencia de la causa.</w:t>
      </w:r>
    </w:p>
    <w:p>
      <w:pPr>
        <w:spacing w:after="140" w:line="278" w:lineRule="auto"/>
        <w:ind w:firstLine="312"/>
      </w:pPr>
      <w:r>
        <w:rPr>
          <w:rFonts w:ascii="Noto Serif" w:hAnsi="Noto Serif" w:eastAsia="Noto Serif"/>
          <w:i w:val="0"/>
          <w:sz w:val="23"/>
        </w:rPr>
        <w:t>El vedantín dice entonces: No es así. Teniendo en cuenta que las partículas de arcilla y otro material que pertenecía al ladrillo son perceptibles en la jarra y otros productos, resulta ilógico imaginar la similitud a través de una scudoinferencia. Tampoco es válida la inferencia cuando contradice a la percepción, puesto que es dependiente de esta última, y la opinión contraria conduciría a poner todo en duda. Es decir, si es momentáneo todo lo percibido como «Esto es aquello», la noción de «aquello» depende de otra noción referente a una cosa distinta. Esto nos llevaría a un regressus ad infinitum: Y por dicha noción, sería también falsa la de «esto es como aquello». Por lo que no habría certidumbre en ningún sitio. Por otra parte, las dos nociones de «esto» y «aquello» no pueden unirse, ya que no hay ningún sujeto permanente.</w:t>
      </w:r>
    </w:p>
    <w:p>
      <w:pPr>
        <w:spacing w:after="140" w:line="278" w:lineRule="auto"/>
        <w:ind w:firstLine="312"/>
      </w:pPr>
      <w:r>
        <w:rPr>
          <w:rFonts w:ascii="Noto Serif" w:hAnsi="Noto Serif" w:eastAsia="Noto Serif"/>
          <w:i w:val="0"/>
          <w:sz w:val="23"/>
        </w:rPr>
        <w:t>Alguien objeta: Estarían unidas por la similitud entre ellas.</w:t>
      </w:r>
    </w:p>
    <w:p>
      <w:pPr>
        <w:spacing w:after="140" w:line="278" w:lineRule="auto"/>
        <w:ind w:firstLine="312"/>
      </w:pPr>
      <w:r>
        <w:rPr>
          <w:rFonts w:ascii="Noto Serif" w:hAnsi="Noto Serif" w:eastAsia="Noto Serif"/>
          <w:i w:val="0"/>
          <w:sz w:val="23"/>
        </w:rPr>
        <w:t>Y la respuesta del vedantín es: No, porque las nociones de «esto» y «aquello» no pueden ser objeto de sus respectivas percepciones, y luego (teniendo en cuenta que según decís vosotros no hay sujeto permanente como el Ser), no habría percepción de la similitud.</w:t>
      </w:r>
    </w:p>
    <w:p>
      <w:pPr>
        <w:spacing w:after="140" w:line="278" w:lineRule="auto"/>
        <w:ind w:firstLine="312"/>
      </w:pPr>
      <w:r>
        <w:rPr>
          <w:rFonts w:ascii="Noto Serif" w:hAnsi="Noto Serif" w:eastAsia="Noto Serif"/>
          <w:i w:val="0"/>
          <w:sz w:val="23"/>
        </w:rPr>
        <w:t>Aunque no exista la similitud, si existe la noción de ella, dice el objetor.</w:t>
      </w:r>
    </w:p>
    <w:p>
      <w:pPr>
        <w:spacing w:after="140" w:line="278" w:lineRule="auto"/>
        <w:ind w:firstLine="312"/>
      </w:pPr>
      <w:r>
        <w:rPr>
          <w:rFonts w:ascii="Noto Serif" w:hAnsi="Noto Serif" w:eastAsia="Noto Serif"/>
          <w:i w:val="0"/>
          <w:sz w:val="23"/>
        </w:rPr>
        <w:t>En ese caso, dice el vedantín, las nociones de «esto» y «aquello», al igual que la de la similitud, se basarían en no-entidades.</w:t>
      </w:r>
    </w:p>
    <w:p>
      <w:pPr>
        <w:spacing w:after="140" w:line="278" w:lineRule="auto"/>
        <w:ind w:firstLine="312"/>
      </w:pPr>
      <w:r>
        <w:rPr>
          <w:rFonts w:ascii="Noto Serif" w:hAnsi="Noto Serif" w:eastAsia="Noto Serif"/>
          <w:i w:val="0"/>
          <w:sz w:val="23"/>
        </w:rPr>
        <w:t>Objeción (que formula la escuela Yogācāra): Basemos todas las nociones en no-entidades. ¿Qué perjuicio ocasiona esto?</w:t>
      </w:r>
    </w:p>
    <w:p>
      <w:pPr>
        <w:spacing w:after="140" w:line="278" w:lineRule="auto"/>
        <w:ind w:firstLine="312"/>
      </w:pPr>
      <w:r>
        <w:rPr>
          <w:rFonts w:ascii="Noto Serif" w:hAnsi="Noto Serif" w:eastAsia="Noto Serif"/>
          <w:i w:val="0"/>
          <w:sz w:val="23"/>
        </w:rPr>
        <w:t>Respuesta del vedantín: En ese caso vuestra opinión de que todo es una idea también se basaría en una no-entidad.</w:t>
      </w:r>
    </w:p>
    <w:p>
      <w:pPr>
        <w:spacing w:after="140" w:line="278" w:lineRule="auto"/>
        <w:ind w:firstLine="312"/>
      </w:pPr>
      <w:r>
        <w:rPr>
          <w:rFonts w:ascii="Noto Serif" w:hAnsi="Noto Serif" w:eastAsia="Noto Serif"/>
          <w:i w:val="0"/>
          <w:sz w:val="23"/>
        </w:rPr>
        <w:t>Asumo esa afirmación, dice el nihilista.</w:t>
      </w:r>
    </w:p>
    <w:p>
      <w:pPr>
        <w:spacing w:after="140" w:line="278" w:lineRule="auto"/>
        <w:ind w:firstLine="312"/>
      </w:pPr>
      <w:r>
        <w:rPr>
          <w:rFonts w:ascii="Noto Serif" w:hAnsi="Noto Serif" w:eastAsia="Noto Serif"/>
          <w:i w:val="0"/>
          <w:sz w:val="23"/>
        </w:rPr>
        <w:t>Respuesta del vedantín: Si son falsas todas las nociones, no puede sostenerse vuestra opinión de que son irreales todas las nociones. Por consiguiente, es incorrecto afirmar que el reconocimiento se produce mediante la similitud. Y de allí queda demostrado que existe la causa antes de producirse el efecto. También existe el efecto antes de que él mismo se produzca.</w:t>
      </w:r>
    </w:p>
    <w:p>
      <w:pPr>
        <w:spacing w:after="140" w:line="278" w:lineRule="auto"/>
        <w:ind w:firstLine="312"/>
      </w:pPr>
      <w:r>
        <w:rPr>
          <w:rFonts w:ascii="Noto Serif" w:hAnsi="Noto Serif" w:eastAsia="Noto Serif"/>
          <w:i w:val="0"/>
          <w:sz w:val="23"/>
        </w:rPr>
        <w:t>Pregunta: ¿Cómo es eso?</w:t>
      </w:r>
    </w:p>
    <w:p>
      <w:pPr>
        <w:spacing w:after="140" w:line="278" w:lineRule="auto"/>
        <w:ind w:firstLine="312"/>
      </w:pPr>
      <w:r>
        <w:rPr>
          <w:rFonts w:ascii="Noto Serif" w:hAnsi="Noto Serif" w:eastAsia="Noto Serif"/>
          <w:i w:val="0"/>
          <w:sz w:val="23"/>
        </w:rPr>
        <w:t>El vedantín responde: Porque su manifestación señala su pre-existencia. Manifestación quiere decir que viene de una variedad de percepciones. Es sabido que una cosa, una jarra por ejemplo, aunque esté oculta por la oscuridad o por cualquier otra cosa y salga dentro de una variedad de percepciones, cuando la obstrucción se ha quitado por medio de la luz o de alguna otra manera, no se pierde su anterior existencia. Igualmente este universo, entendamos, existía antes de su manifestación. Porque una jarra que es inexistente no es percibida siquiera a la salida del sol.</w:t>
      </w:r>
    </w:p>
    <w:p>
      <w:pPr>
        <w:spacing w:after="140" w:line="278" w:lineRule="auto"/>
        <w:ind w:firstLine="312"/>
      </w:pPr>
      <w:r>
        <w:rPr>
          <w:rFonts w:ascii="Noto Serif" w:hAnsi="Noto Serif" w:eastAsia="Noto Serif"/>
          <w:i w:val="0"/>
          <w:sz w:val="23"/>
        </w:rPr>
        <w:t>Objeción: No. Debe ser percibida, puesto que vosotros negáis su inexistencia anterior. Según vosotros, cualquier efecto, digamos una jarra, nunca es inexistente. Así debe ser percibida cuando el sol se levanta. Su forma anterior, el trozo de arcilla, no está en ninguna parte, y las obstrucciones como la oscuridad están ausentes. Y siendo existente, no puede sino aparecer.</w:t>
      </w:r>
    </w:p>
    <w:p>
      <w:pPr>
        <w:spacing w:after="140" w:line="278" w:lineRule="auto"/>
        <w:ind w:firstLine="312"/>
      </w:pPr>
      <w:r>
        <w:rPr>
          <w:rFonts w:ascii="Noto Serif" w:hAnsi="Noto Serif" w:eastAsia="Noto Serif"/>
          <w:i w:val="0"/>
          <w:sz w:val="23"/>
        </w:rPr>
        <w:t>No es así, responde el vedantín. Porque la obstrucción puede ser de dos clases. Cada efecto, como una jarra, tiene dos clases de obstrucción. Cuando se ha hecho evidente su componente de arcilla, la oscuridad y la pared son obstrucciones, mientras que antes de la manifestación de la arcilla la obstrucción consistía en las partículas de arcilla sobrantes como algún otro efecto como un ladrillo. Por lo tanto el efecto, la jarra, aun cuando existe, no es percibida antes de su manifestación, ya que está escondida. Los términos y conceptos «destruido», «producido», «existencia» e «inexistencia» dependen de su carácter doble de manifestación y desaparición.</w:t>
      </w:r>
    </w:p>
    <w:p>
      <w:pPr>
        <w:spacing w:after="140" w:line="278" w:lineRule="auto"/>
        <w:ind w:firstLine="312"/>
      </w:pPr>
      <w:r>
        <w:rPr>
          <w:rFonts w:ascii="Noto Serif" w:hAnsi="Noto Serif" w:eastAsia="Noto Serif"/>
          <w:i w:val="0"/>
          <w:sz w:val="23"/>
        </w:rPr>
        <w:t>Objeción: Esto es incorrecto, puesto que las obstrucciones representadas por formas particulares como el ladrillo o las dos mitades de una jarra son de una naturaleza diferente. Para ser explícitos: Vemos que tales obstrucciones a la manifestación de una jarra, como oscuridad o pared, no ocupan el mismo espacio que la jarra, pero vemos que sí lo ocupan el ladrillo o las dos mitades. Así que es errónea vuestra afirmación de que la jarra, aun estando presente en la forma del ladrillo o de dos mitades, no es percibida porque está escondida, puesto que la naturaleza de la obstrucción en este caso es diferente.</w:t>
      </w:r>
    </w:p>
    <w:p>
      <w:pPr>
        <w:spacing w:after="140" w:line="278" w:lineRule="auto"/>
        <w:ind w:firstLine="312"/>
      </w:pPr>
      <w:r>
        <w:rPr>
          <w:rFonts w:ascii="Noto Serif" w:hAnsi="Noto Serif" w:eastAsia="Noto Serif"/>
          <w:i w:val="0"/>
          <w:sz w:val="23"/>
        </w:rPr>
        <w:t>Respuesta: No, puesto que vemos que el agua mezclada con leche ocupa el mismo espacio que la leche que la oculta.</w:t>
      </w:r>
    </w:p>
    <w:p>
      <w:pPr>
        <w:spacing w:after="140" w:line="278" w:lineRule="auto"/>
        <w:ind w:firstLine="312"/>
      </w:pPr>
      <w:r>
        <w:rPr>
          <w:rFonts w:ascii="Noto Serif" w:hAnsi="Noto Serif" w:eastAsia="Noto Serif"/>
          <w:i w:val="0"/>
          <w:sz w:val="23"/>
        </w:rPr>
        <w:t>El objetor continúa: Pero como las partes componentes de una jarra, como sus dos mitades o trozos, están incluidas en el efecto, o sea la jarra, no deben suponer ninguna obstrucción.</w:t>
      </w:r>
    </w:p>
    <w:p>
      <w:pPr>
        <w:spacing w:after="140" w:line="278" w:lineRule="auto"/>
        <w:ind w:firstLine="312"/>
      </w:pPr>
      <w:r>
        <w:rPr>
          <w:rFonts w:ascii="Noto Serif" w:hAnsi="Noto Serif" w:eastAsia="Noto Serif"/>
          <w:i w:val="0"/>
          <w:sz w:val="23"/>
        </w:rPr>
        <w:t>No es así, responde el vedantín, ya que estando separadas de la jarra, tienen diferentes efectos, y por lo tanto pueden servir como obstrucciones.</w:t>
      </w:r>
    </w:p>
    <w:p>
      <w:pPr>
        <w:spacing w:after="140" w:line="278" w:lineRule="auto"/>
        <w:ind w:firstLine="312"/>
      </w:pPr>
      <w:r>
        <w:rPr>
          <w:rFonts w:ascii="Noto Serif" w:hAnsi="Noto Serif" w:eastAsia="Noto Serif"/>
          <w:i w:val="0"/>
          <w:sz w:val="23"/>
        </w:rPr>
        <w:t>Objetor: Entonces el esfuerzo debería dirigirse solamente a la supresión de las obstrucciones. Es decir, si, como decís, la jarra, por ejemplo, está presente en el estado de un trozo de arcilla o de dos mitades, y no es percibida porque hay obstrucción, entonces quien desee ese efecto, la jarra, debería intentar quitar la obstrucción, y no elaborar la jarra. Pero en la práctica nadie lo hace. Por tanto vuestra declaración es incorrecta.</w:t>
      </w:r>
    </w:p>
    <w:p>
      <w:pPr>
        <w:spacing w:after="140" w:line="278" w:lineRule="auto"/>
        <w:ind w:firstLine="312"/>
      </w:pPr>
      <w:r>
        <w:rPr>
          <w:rFonts w:ascii="Noto Serif" w:hAnsi="Noto Serif" w:eastAsia="Noto Serif"/>
          <w:i w:val="0"/>
          <w:sz w:val="23"/>
        </w:rPr>
        <w:t>No, responde el vedantín, porque no hay reglas fijas. No siempre se da el caso de que una jarra o cualquier otro efecto se manifieste si solamente se intenta quitar la obstrucción; porque cuando una jarra, por ejemplo, está cubierta con oscuridad, se intenta encender una lámpara.</w:t>
      </w:r>
    </w:p>
    <w:p>
      <w:pPr>
        <w:spacing w:after="140" w:line="278" w:lineRule="auto"/>
        <w:ind w:firstLine="312"/>
      </w:pPr>
      <w:r>
        <w:rPr>
          <w:rFonts w:ascii="Noto Serif" w:hAnsi="Noto Serif" w:eastAsia="Noto Serif"/>
          <w:i w:val="0"/>
          <w:sz w:val="23"/>
        </w:rPr>
        <w:t>El objetor dice: Eso se hace sólo para destruir la oscuridad. El esfuerzo de encender la lámpara pretende también quitar la oscuridad, lo cual una vez hecho, deja que se perciba de inmediato la jarra. Nada se ha añadido a la jarra.</w:t>
      </w:r>
    </w:p>
    <w:p>
      <w:pPr>
        <w:spacing w:after="140" w:line="278" w:lineRule="auto"/>
        <w:ind w:firstLine="312"/>
      </w:pPr>
      <w:r>
        <w:rPr>
          <w:rFonts w:ascii="Noto Serif" w:hAnsi="Noto Serif" w:eastAsia="Noto Serif"/>
          <w:i w:val="0"/>
          <w:sz w:val="23"/>
        </w:rPr>
        <w:t>La respuesta del vedantín es: No, porque la jarra se percibe cubierta con luz cuando la lámpara está encendida. No así antes de encenderse la lámpara. Por lo tanto, esto no era simplemente para quitar la oscuridad, sino para cubrir la jarra con luz, por eso desde entonces se percibe cubierta con luz. Algunas veces el esfuerzo está dirigido a la eliminación de la obstrucción, como cuando la pared, por ejemplo, se ha echado abajo. Por lo tanto, no puede mantenerse como una regla el que quien desee la manifestación de algo debe simplemente intentar quitar la obstrucción. Además, deberían tomarse medidas al causar la manifestación para la eficacia de la práctica establecida en relación con ella. Hemos dicho ya que un efecto que es patente en la causa sirve como una obstrucción a la manifestación de otros efectos; así es que si se intenta solamente destruir el efecto manifestado previamente, tal como un ladrillo o dos mitades que están presentes entre ésta y la jarra, se puede también tener efectos como los fragmentos rotos de cerámica o trozos minúsculos. Éstos también ocultarán la jarra, e impedirán que ésta se perciba; y un nuevo intento será necesario. Por lo tanto el funcionamiento que requieren los factores de una acción tiene su utilidad si se desea la manifestación de una jarra o de cualquier otra cosa. Por lo tanto, el efecto existe incluso antes de su manifestación.</w:t>
      </w:r>
    </w:p>
    <w:p>
      <w:pPr>
        <w:spacing w:after="140" w:line="278" w:lineRule="auto"/>
        <w:ind w:firstLine="312"/>
      </w:pPr>
      <w:r>
        <w:rPr>
          <w:rFonts w:ascii="Noto Serif" w:hAnsi="Noto Serif" w:eastAsia="Noto Serif"/>
          <w:i w:val="0"/>
          <w:sz w:val="23"/>
        </w:rPr>
        <w:t>De nuestras opiniones divergentes del pasado y futuro también inferimos esto. No pueden ser completamente independientes de los objetos nuestras nociones de una jarra que existió, y de otra que todavía no existe, como tampoco puede serlo la noción de la jarra presente. Puesto que quien desee tener una jarra que está todavía sin elaborar, se pondrá a trabajar para conseguirla. No vemos a la gente esforzándose para conseguir cosas que sabe que no son existentes. Otra razón para la pre-existencia del efecto es el hecho de que es infalible el conocimiento de (Dios y) los yoguis en relación con la jarra del pasado y del futuro. Si fuera la jarra futura no existente, resultaría falsa la percepción que de la misma tienen Él y (ellos). Ni tampoco es esta percepción una mera forma de hablar. En cuanto a las razones para deducir la existencia de la jarra, ya las hemos indicado.</w:t>
      </w:r>
    </w:p>
    <w:p>
      <w:pPr>
        <w:spacing w:after="140" w:line="278" w:lineRule="auto"/>
        <w:ind w:firstLine="312"/>
      </w:pPr>
      <w:r>
        <w:rPr>
          <w:rFonts w:ascii="Noto Serif" w:hAnsi="Noto Serif" w:eastAsia="Noto Serif"/>
          <w:i w:val="0"/>
          <w:sz w:val="23"/>
        </w:rPr>
        <w:t>Otra razón para ello es que el punto de vista opuesto implica una auto-contradicción. Si, al ver a un alfarero, por ejemplo, trabajando en la elaboración de una jarra, se está seguro, a la vista de la evidencia, de que la jarra llegará a existir, entonces sería contradictorio decir que la jarra es inexistente al mismo tiempo que, según se ha dicho, se va a entrar en relación con ella. Es así, porque decir que la jarra que será es inexistente equivale a decir que no será. Sería como si dijéramos: «Esta jarra no existe». Sin embargo, si dices que con anterioridad de su manifestación la jarra es inexistente, queriendo decir con ello que no existe exactamente del mismo modo que existe, por ejemplo, el alfarero mientras éste está ocupado en la elaboración de aquélla (como producto terminado), entonces no hay disputa entre nosotros.</w:t>
      </w:r>
    </w:p>
    <w:p>
      <w:pPr>
        <w:spacing w:after="140" w:line="278" w:lineRule="auto"/>
        <w:ind w:firstLine="312"/>
      </w:pPr>
      <w:r>
        <w:rPr>
          <w:rFonts w:ascii="Noto Serif" w:hAnsi="Noto Serif" w:eastAsia="Noto Serif"/>
          <w:i w:val="0"/>
          <w:sz w:val="23"/>
        </w:rPr>
        <w:t>El objetor pregunta: ¿Por qué?</w:t>
      </w:r>
    </w:p>
    <w:p>
      <w:pPr>
        <w:spacing w:after="140" w:line="278" w:lineRule="auto"/>
        <w:ind w:firstLine="312"/>
      </w:pPr>
      <w:r>
        <w:rPr>
          <w:rFonts w:ascii="Noto Serif" w:hAnsi="Noto Serif" w:eastAsia="Noto Serif"/>
          <w:i w:val="0"/>
          <w:sz w:val="23"/>
        </w:rPr>
        <w:t>Y el vedantín le responde: Porque existe la jarra en su propia forma futura (potencial). Hay que tener en cuenta que la existencia actual del trozo de arcilla o las dos mitades no es la misma que la de la jarra. Tampoco es la existencia futura de la jarra la misma como la de las dos mitades y la del trozo. Consiguientemente, no nos contradecís al afirmar que la jarra es inexistente con anterioridad a su manifestación, mientras la actividad del alfarero continúa. Lo estaríais haciendo si negarais a la jarra su propia forma futura como un efecto. Pero no negáis eso. Tampoco tienen forma idéntica de existencia, en el presente o en el futuro, todas las cosas que sufren modificaciones.</w:t>
      </w:r>
    </w:p>
    <w:p>
      <w:pPr>
        <w:spacing w:after="140" w:line="278" w:lineRule="auto"/>
        <w:ind w:firstLine="312"/>
      </w:pPr>
      <w:r>
        <w:rPr>
          <w:rFonts w:ascii="Noto Serif" w:hAnsi="Noto Serif" w:eastAsia="Noto Serif"/>
          <w:i w:val="0"/>
          <w:sz w:val="23"/>
        </w:rPr>
        <w:t>Por otra parte, de las cuatro clases de negación, respecto a una jarra, observamos que lo que se llama exclusión mutua es distinto de la jarra: la negación de una jarra es un paño o alguna otra cosa que no sea la propia jarra. Pero el paño, aun cuando es la negación de una jarra, no es una nulidad, sino una entidad positiva. Igualmente la previa inexistencia, la no-existencia debida a la destrucción y absoluta negación, deben también ser distintas de la jarra; puesto que de todas ellas se habla en términos de esta última, como en el caso de la exclusión mutua que se refiere a ella. Y estas negaciones deben también (como el paño, por ejemplo) ser entidades positivas. Por lo tanto la previa inexistencia de una jarra no quiere decir que no exista como una entidad antes de que llegue a ser una jarra. Si en cambio dices que la inexistencia previa de una jarra quiere decir la jarra misma, entonces es incongruente mencionarlo como si fuera «de una jarra» (en lugar de «la misma jarra»). Si se usa, simplemente como un capricho, como la expresión «El cuerpo del rodillo de piedra», entonces la frase «la previa inexistencia de una jarra» únicamente querría decir que se trata de la inexistencia imaginaria, que se menciona en términos de la jarra, y no de la propia jarra. Si, por otro lado, se dice que la negación de una jarra es algo diferente de ella, entonces ya tenemos el punto contestado. Aún más, si la jarra antes de su manifestación es una no-entidad absoluta como los supuestos cuernos de una liebre, no puede relacionarse ni con su causa ni tampoco con la existencia (como sostienen los lógicos), ya que la relación requiere dos entidades positivas.</w:t>
      </w:r>
    </w:p>
    <w:p>
      <w:pPr>
        <w:spacing w:after="140" w:line="278" w:lineRule="auto"/>
        <w:ind w:firstLine="312"/>
      </w:pPr>
      <w:r>
        <w:rPr>
          <w:rFonts w:ascii="Noto Serif" w:hAnsi="Noto Serif" w:eastAsia="Noto Serif"/>
          <w:i w:val="0"/>
          <w:sz w:val="23"/>
        </w:rPr>
        <w:t>Está bien con cosas que son inseparables, dice el objetor:</w:t>
      </w:r>
    </w:p>
    <w:p>
      <w:pPr>
        <w:spacing w:after="140" w:line="278" w:lineRule="auto"/>
        <w:ind w:firstLine="312"/>
      </w:pPr>
      <w:r>
        <w:rPr>
          <w:rFonts w:ascii="Noto Serif" w:hAnsi="Noto Serif" w:eastAsia="Noto Serif"/>
          <w:i w:val="0"/>
          <w:sz w:val="23"/>
        </w:rPr>
        <w:t>No, responde el vedantín, porque no podemos concebir una unión inseparable entre una cosa existente y otra inexistente. La unión separable o insepara ble es posible solamente entre dos entidades positivas, no entre una entidad y una no-entidad, ni entre dos no-entidades. Por lo tanto, concluimos que el efecto existe antes de ser manifestado.</w:t>
      </w:r>
    </w:p>
    <w:p>
      <w:pPr>
        <w:spacing w:after="140" w:line="278" w:lineRule="auto"/>
        <w:ind w:firstLine="312"/>
      </w:pPr>
      <w:r>
        <w:rPr>
          <w:rFonts w:ascii="Noto Serif" w:hAnsi="Noto Serif" w:eastAsia="Noto Serif"/>
          <w:i w:val="0"/>
          <w:sz w:val="23"/>
        </w:rPr>
        <w:t>¿De qué clase de muerte estaba cubierto el universo? Esto se ha contestado: Por hambre, o el deseo de comer, el cual es una característica de la muerte. ¿Cómo es el hambre, la muerte? La contestación es ésta: Porque la muerte es hambre. La partícula hi indica una razón conocida. El que desea comer mata animales inmediatamente después. Por lo tanto, «hambre» se refiere a la muerte. De aquí viene el uso de la expresión. «Muerte» aquí quiere decir Hiraṇyagarbha como identificado con la mente, porque hambre es un atributo de lo que está así identificado. Este efecto, el universo, estaba cubierto por esa muerte, al igual que una jarra, etc., estaría cubierta por arcilla en la forma de una masa. Él creó la mente. La palabra tat (aquello) se refiere a la mente. Aquella muerte de la que estamos hablando, intentando proyectar los efectos que se mencionarán más adelante, creó los órganos interiores llamados mente, caracterizados por la deliberación, etc. Y con el poder para reflejar aquellos efectos. ¿Cuál era su objeto al crear la mente? Se afirma esto: Pensando: «Dadme una mente y a través de esa mente (ātman), que yo sea poseedor de la mente». Esto fue su objeto. Él, Prajāpati, al poseer una mente después de manifestarse, andaba de un lado a otro adorando, pensando que era sagrado. Mientras estaba en adoración, salió el agua, una substancia toda líquida, forma accesoria de la adoración. Aquí tenemos que aportar las palabras «Después de la manifestación del espacio, el aire y el fuego», pues así lo dice otro texto (Tai. II, 1, 1) y no puede haber ninguna alternativa en el orden de la manifestación. Pensó la muerte: «Mientras estaba en adoración, salió el agua», arka, el fuego que es apto para utilizarse en el sacrificio del caballo, se llama así. Es la derivación del nombre arka que se atribuye al fuego. Es un epíteto descriptivo del fuego que se deriva de la realización de la adoración que lleva a la felicidad, y de la relación con el agua. El agua o la felicidad llega ciertamente a quien sabe cómo arka (el fuego) llega a tener este nombre de arka. Esto obedece a la similitud entre los nombres.</w:t>
      </w:r>
    </w:p>
    <w:p>
      <w:pPr>
        <w:keepLines/>
        <w:spacing w:before="160" w:after="240" w:line="288" w:lineRule="auto"/>
        <w:ind w:left="255" w:right="198" w:firstLine="0"/>
      </w:pPr>
      <w:r>
        <w:rPr>
          <w:rFonts w:ascii="Noto Serif" w:hAnsi="Noto Serif" w:eastAsia="Noto Serif"/>
          <w:i/>
          <w:sz w:val="24"/>
        </w:rPr>
        <w:t>2. El agua es arka. Lo que allí había (como espuma) en el agua se solidificó, y se convirtió en esta tierra. Una vez creada ésta, él se sintió cansado. Mientras se encontraba agotado y afligido, salió su esencia, su fulgor: Y era el fuego.</w:t>
      </w:r>
    </w:p>
    <w:p>
      <w:pPr>
        <w:spacing w:after="140" w:line="278" w:lineRule="auto"/>
        <w:ind w:firstLine="312"/>
      </w:pPr>
      <w:r>
        <w:rPr>
          <w:rFonts w:ascii="Noto Serif" w:hAnsi="Noto Serif" w:eastAsia="Noto Serif"/>
          <w:i w:val="0"/>
          <w:sz w:val="23"/>
        </w:rPr>
        <w:t>¿Qué es arka? El agua, ese objeto de la adoración, es arka, puesto que es la causa del fuego. Es así, porque se dice que el fuego se apoya en el agua. El agua no es arka directamente, ya que el tema de que se trata no es el agua, sino el fuego. Más adelante se dirá: «Este fuego es arka» (I, 2, 7). Lo que allí había como espuma en el agua, o el estado de coagulación de la cuajada, se solidificó, al someterse interior y exteriormente al calor. O, si cambiamos el género del pronombre yad (aquello), la palabra sara puede estar en el nominativo (en lugar de ser complemento). Aquella cosa sólida se convirtió en esta tierra. Es decir, de aquella agua provino el estado embrionario del universo, como si se tratara de la comparación con un huevo. Una vez elaborada esa tierra, él, la muerte o Prajāpati, se encontraba cansado. Y es así porque todo el mundo queda cansado después del trabajo. La proyección de la tierra fue una gran hazaña de Prajāpati. Y después ¿qué le pasó? Mientras se encontraba cansado y afligido, salió de su cuerpo, su esencia, o fulgor. Era fuego, el Virāj</w:t>
      </w:r>
      <w:r>
        <w:rPr>
          <w:rFonts w:ascii="Noto Serif" w:hAnsi="Noto Serif" w:eastAsia="Noto Serif"/>
          <w:i w:val="0"/>
          <w:sz w:val="17"/>
          <w:vertAlign w:val="superscript"/>
        </w:rPr>
        <w:t>3</w:t>
      </w:r>
      <w:r>
        <w:rPr>
          <w:rFonts w:ascii="Noto Serif" w:hAnsi="Noto Serif" w:eastAsia="Noto Serif"/>
          <w:i w:val="0"/>
          <w:sz w:val="23"/>
        </w:rPr>
        <w:t xml:space="preserve"> primogénito, que también se llamaba Prajāpati, quien nació dentro de aquel huevo cósmico, dotado de cuerpo y órganos. Y así dice la tradición (smṛti): «Él es el primer ser encarnado» (Si. V, I, 8, 22).</w:t>
      </w:r>
    </w:p>
    <w:p>
      <w:pPr>
        <w:keepLines/>
        <w:spacing w:before="160" w:after="240" w:line="288" w:lineRule="auto"/>
        <w:ind w:left="255" w:right="198" w:firstLine="0"/>
      </w:pPr>
      <w:r>
        <w:rPr>
          <w:rFonts w:ascii="Noto Serif" w:hAnsi="Noto Serif" w:eastAsia="Noto Serif"/>
          <w:i/>
          <w:sz w:val="24"/>
        </w:rPr>
        <w:t>3. El (Virāj) se diferenciaba de tres maneras, como el sol en la tercera forma, y el aire en la tercera forma. Y así, prāṇa (Virāj) se encuentra dividida en tres. Su cabeza es el este, y sus brazos el nordeste y el sudeste. Y su parte posterior es el oeste, sus caderas el noroeste y el sudoeste, sus costados el sur y el norte, su espalda el paraíso, su vientre el cielo, y su pecho esta tierra. Descansa en el agua. Así, el que (lo) conoce encuentra lugar para descansar, dondequiera que vaya.</w:t>
      </w:r>
    </w:p>
    <w:p>
      <w:pPr>
        <w:spacing w:after="140" w:line="278" w:lineRule="auto"/>
        <w:ind w:firstLine="312"/>
      </w:pPr>
      <w:r>
        <w:rPr>
          <w:rFonts w:ascii="Noto Serif" w:hAnsi="Noto Serif" w:eastAsia="Noto Serif"/>
          <w:i w:val="0"/>
          <w:sz w:val="23"/>
        </w:rPr>
        <w:t>Él, el Virāj que nació, fue quien diferenció o dividió, su cuerpo u órganos, de tres maneras. ¿Cómo lo hizo? Lo hizo al hacer que el sol fuera la tercera forma, con respecto al fuego y el aire. El verbo «hizo» lo tenemos que añadir. Y el aire, la tercera forma, con respecto al fuego y el sol. Del mismo modo, tenemos que comprender «Hizo que el fuego fuera la tercera forma» con respecto al aire y el sol, puesto que de igual manera éste puede constituir el número tres. Y así, prāṇa (Virāj), aun siendo, por decirlo de alguna manera, el ser propio de todos los seres, está especialmente dividido por él mismo como la muerte, de tres maneras, como el fuego, el aire y el sol, sin que con ello, no obstante, se destruya su propia forma de Virāj. Ahora se describe, al igual que la meditación sobre el caballo, la presente meditación que corresponde a este fuego, al Virāj primogénito, y al arka que se utiliza en el sacrificio del caballo, y que ardió en él.</w:t>
      </w:r>
    </w:p>
    <w:p>
      <w:pPr>
        <w:spacing w:after="140" w:line="278" w:lineRule="auto"/>
        <w:ind w:firstLine="312"/>
      </w:pPr>
      <w:r>
        <w:rPr>
          <w:rFonts w:ascii="Noto Serif" w:hAnsi="Noto Serif" w:eastAsia="Noto Serif"/>
          <w:i w:val="0"/>
          <w:sz w:val="23"/>
        </w:rPr>
        <w:t>Ya hemos dicho que toda la explicación anterior sobre su origen es para elogiarlo, señalando que es de nacimiento puro. Su cabeza es el este, siendo ambos los más importantes. Y sus brazos eso y eso, el nordeste y el sueste. La palabra irma (brazo) proviene de la raíz ir, que significa movimiento. Y su parte posterior es el oeste, porque se apunta en ese sentido cuando él mira hacia el este. Sus caderas eso y eso, el noroeste y el sudoeste, formando las dos sendos ángulos con la espalda. Sus costados el sur y el oeste. Su espalda el paraíso, su vientre el cielo, al igual que en el caso del caballo. Y su pecho esta tierra, dado que los dos están hacia abajo. Él, este fuego que comprende los mundos, o Él, Prajāpati, descansa en el agua, puesto que dice la tradición védica: «Así yacen en el agua estos mundos» (S. X. V, 4, 3). Así, él encuentra lugar para descansar, dondequiera que vaya. ¿Quién? Quien sabe que el fuego descansa en el agua, de este modo, según se ha descrito aquí. Esto es un resultado subordinado.</w:t>
      </w:r>
    </w:p>
    <w:p>
      <w:pPr>
        <w:keepLines/>
        <w:spacing w:before="160" w:after="240" w:line="288" w:lineRule="auto"/>
        <w:ind w:left="255" w:right="198" w:firstLine="0"/>
      </w:pPr>
      <w:r>
        <w:rPr>
          <w:rFonts w:ascii="Noto Serif" w:hAnsi="Noto Serif" w:eastAsia="Noto Serif"/>
          <w:i/>
          <w:sz w:val="24"/>
        </w:rPr>
        <w:t>4. Deseó esto: Dadme una segunda forma (cuerpo). Él, la muerte o el hambre, realizó la unión entre la palabra (los Vedas) y la mente. Lo que allí fue semilla, se transformó en el año (Virāj). Con anterioridad a él, no había existido el año. Él le creó durante todo lo que es un año, y al cabo de este período, le proyectó. Cuando nació, la muerte abrió la boca (para tragarle). Y el niño gritó ¡Bhn! Y así surgió la palabra.</w:t>
      </w:r>
    </w:p>
    <w:p>
      <w:pPr>
        <w:spacing w:after="140" w:line="278" w:lineRule="auto"/>
        <w:ind w:firstLine="312"/>
      </w:pPr>
      <w:r>
        <w:rPr>
          <w:rFonts w:ascii="Noto Serif" w:hAnsi="Noto Serif" w:eastAsia="Noto Serif"/>
          <w:i w:val="0"/>
          <w:sz w:val="23"/>
        </w:rPr>
        <w:t>Se ha afirmado que la muerte, en el ámbito del agua y el resto, se manifestó en el huevo cósmico, como el Virāj o el fuego, dotado de cuerpo y órganos, y que se dividió de tres maneras. Ahora bien, ¿por medio de qué proceso se manifestó? A esto se da la respuesta: La muerte, deseó: Dadme una segunda forma o cuerpo, por cuyo medio me pueda encarnar. Una vez pronunciado su deseo, realizó la unión entre la palabra, o los Vedas, con la mente, que ya había aparecido. Reflexionó con su mente en los Vedas, es decir, el orden de la creación por ellos impuesto.</w:t>
      </w:r>
    </w:p>
    <w:p>
      <w:pPr>
        <w:spacing w:after="140" w:line="278" w:lineRule="auto"/>
        <w:ind w:firstLine="312"/>
      </w:pPr>
      <w:r>
        <w:rPr>
          <w:rFonts w:ascii="Noto Serif" w:hAnsi="Noto Serif" w:eastAsia="Noto Serif"/>
          <w:i w:val="0"/>
          <w:sz w:val="23"/>
        </w:rPr>
        <w:t>¿Quién lo hizo? Se ha dicho que el hambre es muerte. El texto hace referencia a él, para evitar que se interprete que lo hace a algún otro (Virāj). Lo que allí fue semilla, la causa del origen del Virāj, el primer ser encarnado, el conocimiento y el resultado del trabajo acumulado durante las vidas anteriores, y que la muerte visualizó en su reflexión sobre los Vedas, se transformó en el año, el Prajāpati, que de ese nombre nace el año. La muerte (Hiraṇyagarbha)</w:t>
      </w:r>
      <w:r>
        <w:rPr>
          <w:rFonts w:ascii="Noto Serif" w:hAnsi="Noto Serif" w:eastAsia="Noto Serif"/>
          <w:i w:val="0"/>
          <w:sz w:val="17"/>
          <w:vertAlign w:val="superscript"/>
        </w:rPr>
        <w:t>4</w:t>
      </w:r>
      <w:r>
        <w:rPr>
          <w:rFonts w:ascii="Noto Serif" w:hAnsi="Noto Serif" w:eastAsia="Noto Serif"/>
          <w:i w:val="0"/>
          <w:sz w:val="23"/>
        </w:rPr>
        <w:t>, absorta en estos pensamientos, proyectó el agua, entrando en ella como la semilla, y, transformada en el embrión, el huevo cósmico, llegó a ser el año. Con anterioridad a él, el Virāj, que hace el año, éste no había existido, ni ningún período de tal nombre. La muerte creó Virāj en estado de embrión, durante todo lo que es un año, esa duración de tiempo tan conocida entre nosotros. Y después, ¿qué hizo? Y al cabo de este período, es decir, del año, le proyectó, es decir, rompió el huevo. Cuando él, el niño, el fuego, el primer ser encarnado, nació, la muerte abrió la boca para tragarle, porque tenía hambre. Él, el niño, asustándose, pues estaba dotado de la ignorancia natural, gritó Bhn, de cuyo sonido onomatopéyico se creó el lenguaje o la palabra.</w:t>
      </w:r>
    </w:p>
    <w:p>
      <w:pPr>
        <w:keepLines/>
        <w:spacing w:before="160" w:after="240" w:line="288" w:lineRule="auto"/>
        <w:ind w:left="255" w:right="198" w:firstLine="0"/>
      </w:pPr>
      <w:r>
        <w:rPr>
          <w:rFonts w:ascii="Noto Serif" w:hAnsi="Noto Serif" w:eastAsia="Noto Serif"/>
          <w:i/>
          <w:sz w:val="24"/>
        </w:rPr>
        <w:t>5. Pensó: Si lo mato, tendré muy poca comida. Con esas palabras y la mente, proyectó todo esto, todo lo que había, los Vedas, ṛg, yajus y sāman, los versos, los sacrificios, hombres y animales. Cualquier cosa que proyectara decidía comérselo. Y porque come todo, Aditi (muerte) se llama así. Él sabe cómo Aditi llega a tener este nombre, cómo llega a ser el comedor de todo esto, y cómo todo se convierte en su alimento.</w:t>
      </w:r>
    </w:p>
    <w:p>
      <w:pPr>
        <w:spacing w:after="140" w:line="278" w:lineRule="auto"/>
        <w:ind w:firstLine="312"/>
      </w:pPr>
      <w:r>
        <w:rPr>
          <w:rFonts w:ascii="Noto Serif" w:hAnsi="Noto Serif" w:eastAsia="Noto Serif"/>
          <w:i w:val="0"/>
          <w:sz w:val="23"/>
        </w:rPr>
        <w:t>Al ver que el niño estaba asustado y llorando, la muerte pensó, aun cuando tenía hambre: «Si sacrifico a este niño, estaré haciendo muy poca comida». La raíz man con el prefijo abhi significa herir o matar. Pensando así, desistió de comerlo, puesto que no debía tener poca comida, sino una gran cantidad de ella para que pudiera comer durante mucho tiempo; y al comer al niño, tendría muy poca comida, puesto que no hay cosecha si se han comido las semillas. Al pensar en la gran cantidad de comida necesaria para su propósito, con esas palabras, los Vedas ya mencionados, y esa mente, uniéndolos, es decir, reflexionando en los Vedas una y otra vez, proyectó todo esto, lo móvil y lo inmóvil (animales, plantas, etc.), lo que hay ¿Qué es? Los Vedas, ṛg, yajus y sāman, los siete gāyatrī y el resto, es decir, las tres clases de mantras (fórmulas sagradas) que forman parte de una ceremonia, los himnos (stotra), las adoraciones (śastra), y el resto, compuestos en el gāyatrī y otros mantras, los sacrificios, que se llevan a cabo con la ayuda de esos mantras, los hombres, que los realizan, y los animales, domésticos y salvajes, que son parte de estos ritos.</w:t>
      </w:r>
    </w:p>
    <w:p>
      <w:pPr>
        <w:spacing w:after="140" w:line="278" w:lineRule="auto"/>
        <w:ind w:firstLine="312"/>
      </w:pPr>
      <w:r>
        <w:rPr>
          <w:rFonts w:ascii="Noto Serif" w:hAnsi="Noto Serif" w:eastAsia="Noto Serif"/>
          <w:i w:val="0"/>
          <w:sz w:val="23"/>
        </w:rPr>
        <w:t>Surge una objeción: Se ha dicho ya que la muerte proyectó Virāj a través de la unión de la palabra (los Vedas) con la mente. Así, ¿cómo es que ahora se dice que proyectó a los Vedas?</w:t>
      </w:r>
    </w:p>
    <w:p>
      <w:pPr>
        <w:spacing w:after="140" w:line="278" w:lineRule="auto"/>
        <w:ind w:firstLine="312"/>
      </w:pPr>
      <w:r>
        <w:rPr>
          <w:rFonts w:ascii="Noto Serif" w:hAnsi="Noto Serif" w:eastAsia="Noto Serif"/>
          <w:i w:val="0"/>
          <w:sz w:val="23"/>
        </w:rPr>
        <w:t>Respuesta: Está bien dicho, puesto que la unión anterior de la mente fue con los Vedas en estado no-manifestado, mientras que la creación de la que aquí se habla es la manifestación de los Vedas ya existentes, a fin de que puedan aplicarse para las ceremonias. Entendiendo que el alimento había aumentado, cualquier cosa que él, Prajāpati, proyectara, bien fuera acción, sus medios o sus resultados, resolvía comérsela. Y porque come todo, Aditi, o la muerte, se llama así. Dice la tradición: «Aditi es el paraíso, Aditi es el cielo, Aditi es la madre, y es el padre», etc. (R. I, 59. 10). Él sabe cómo Aditi Prajāpati o la muerte llega a tener este nombre porque al comerse todo, llega a ser el comedor de todo esto, de todo este universo, el cual se convierte en su alimento. Esto es así al estar identificado con el universo, pues de lo contrario implicaría una contradicción; ya que no vemos que sea alguien comedor exclusivo de todo. Por consiguiente, el sentido es que él llega a identificarse con todo. Y, por esta misma razón, todo se convierte en su alimento, ya que es razonable pensar que todo sea comida para el comedor que se identifique con todo</w:t>
      </w:r>
      <w:r>
        <w:rPr>
          <w:rFonts w:ascii="Noto Serif" w:hAnsi="Noto Serif" w:eastAsia="Noto Serif"/>
          <w:i w:val="0"/>
          <w:sz w:val="17"/>
          <w:vertAlign w:val="superscript"/>
        </w:rPr>
        <w:t>5</w:t>
      </w:r>
      <w:r>
        <w:rPr>
          <w:rFonts w:ascii="Noto Serif" w:hAnsi="Noto Serif" w:eastAsia="Noto Serif"/>
          <w:i w:val="0"/>
          <w:sz w:val="23"/>
        </w:rPr>
        <w:t>.</w:t>
      </w:r>
    </w:p>
    <w:p>
      <w:pPr>
        <w:keepLines/>
        <w:spacing w:before="160" w:after="240" w:line="288" w:lineRule="auto"/>
        <w:ind w:left="255" w:right="198" w:firstLine="0"/>
      </w:pPr>
      <w:r>
        <w:rPr>
          <w:rFonts w:ascii="Noto Serif" w:hAnsi="Noto Serif" w:eastAsia="Noto Serif"/>
          <w:i/>
          <w:sz w:val="24"/>
        </w:rPr>
        <w:t>6. Deseó esto: Que sacrifique yo de nuevo con el gran sacrificio. Estaba cansado, y angustiado. Y estando así su reputación y su fuerza le abandonaron. Los órganos son la reputación y la fuerza. Cuando le abandonaron los órganos, el cuerpo empezó a expandirse y su mente estaba asentada en el cuerpo.</w:t>
      </w:r>
    </w:p>
    <w:p>
      <w:pPr>
        <w:spacing w:after="140" w:line="278" w:lineRule="auto"/>
        <w:ind w:firstLine="312"/>
      </w:pPr>
      <w:r>
        <w:rPr>
          <w:rFonts w:ascii="Noto Serif" w:hAnsi="Noto Serif" w:eastAsia="Noto Serif"/>
          <w:i w:val="0"/>
          <w:sz w:val="23"/>
        </w:rPr>
        <w:t>Esto, y parte del párrafo siguiente, se incluyen para dar la derivación de las palabras aśva (caballo) y Aśvamedha (sacrificio del caballo). Que sacrifique yo de nuevo con el gran sacrificio. La expresión «de nuevo» hace referencia a su realización en la vida anterior. Prajāpati había realizado un sacrificio del caballo durante su vida anterior, y nació al comienzo del ciclo imbuido con esos pensamientos. Habiéndose identificado al nacer con el acto del sacrificio del caballo, sus factores y sus resultados, él deseó sacrificar nuevamente con el gran sacrificio. Tras este gran compromiso, estaba cansado, como los demás hombres, y angustiado, le abandonaron su reputación y su fuerza. La tradición explica las palabras: Los órganos son la reputación, siendo de ello la causa, pues uno goza de buena reputación mientras los órganos permanezcan en el cuerpo; y del mismo modo, la fuerza en el cuerpo. A nadie se le puede atribuir reputación o fuerza cuando los órganos han abandonado el cuerpo. Y, así, salieron la reputación y la fuerza que consistían en los órganos. Cuando esos órganos que formaban la reputación y la fuerza se marcharon, el cuerpo de Prajāpati empezó a expandirse, haciéndose impuro o inepto para el sacrificio. (Pero) aunque Prajāpati la había dejado su mente estaba asentada en el cuerpo, ya que aun estando fuera, se anhelan los objetos favoritos.</w:t>
      </w:r>
    </w:p>
    <w:p>
      <w:pPr>
        <w:keepLines/>
        <w:spacing w:before="160" w:after="240" w:line="288" w:lineRule="auto"/>
        <w:ind w:left="255" w:right="198" w:firstLine="0"/>
      </w:pPr>
      <w:r>
        <w:rPr>
          <w:rFonts w:ascii="Noto Serif" w:hAnsi="Noto Serif" w:eastAsia="Noto Serif"/>
          <w:i/>
          <w:sz w:val="24"/>
        </w:rPr>
        <w:t>7. Deseo: Que éste, mi cuerpo, sea apto para el sacrificio, y que me encarne por él. Como ese cuerpo se expandió (aśvat), se le llamó aśva (caballo). Y como se hizo apto para el sacrificio, es por lo que el sacrificio del caballo llegó a conocerse como Aśvamedha. Quien así lo conoce, efectivamente conoce el sacrificio del caballo. (Imaginándose él mismo como el caballo y) dejándolo libre, reflexiona en él. Después de un año él se sacrificó a él mismo, y envió los animales a los dioses. Por consiguiente, (los sacerdotes) sacrifican a Prajāpati, el (caballo) santificado que está dedicado a todos los dioses. El que por allí brilla, es el sacrificio del caballo; su cuerpo es el año. Este fuego es arka; sus miembros son estos mundos. Así, estos dos (el fuego y el sol) son arka y el sacrificio del caballo. Estos dos se transforman en el mismo dios, la muerte. El que conoce esto conquista la otra muerte. La muerte no puede sobrevenir a quien se identifica con estas deidades como su propio ser.</w:t>
      </w:r>
    </w:p>
    <w:p>
      <w:pPr>
        <w:spacing w:after="140" w:line="278" w:lineRule="auto"/>
        <w:ind w:firstLine="312"/>
      </w:pPr>
      <w:r>
        <w:rPr>
          <w:rFonts w:ascii="Noto Serif" w:hAnsi="Noto Serif" w:eastAsia="Noto Serif"/>
          <w:i w:val="0"/>
          <w:sz w:val="23"/>
        </w:rPr>
        <w:t>¿Qué hizo (Hiraṇyagarbha) con la mente que tenía incorporada en aquel cuerpo? Él deseó: que éste, mi cuerpo, sea apto para el sacrificio, y que me encarne mediante esto. Y entró en él. Como ese cuerpo, que durante la ausencia de él quedó desprovisto de su reputación y fuerza, se expandió (aśvat), llegó a llamarse aśva (caballo). Por eso el propio Prajāpati se llama aśva. Se trata de un elogio al caballo. Y al entrar él en el mismo, el cuerpo, aun cuando se hubiera quedado inepto para el sacrificio por haber perdido su reputación y su fuerza, se hizo de nuevo apto. Es por lo que el sacrificio del caballo llegó a conocerse como Aśvamedha. Porque un sacrificio consiste en la acción, sus factores y sus resultados. Y éste que no es otro que Prajāpati, es un tributo al sacrificio.</w:t>
      </w:r>
    </w:p>
    <w:p>
      <w:pPr>
        <w:spacing w:after="140" w:line="278" w:lineRule="auto"/>
        <w:ind w:firstLine="312"/>
      </w:pPr>
      <w:r>
        <w:rPr>
          <w:rFonts w:ascii="Noto Serif" w:hAnsi="Noto Serif" w:eastAsia="Noto Serif"/>
          <w:i w:val="0"/>
          <w:sz w:val="23"/>
        </w:rPr>
        <w:t>El caballo, que es un factor del sacrificio, ha sido declarado Prajāpati en el pasaje «La cabeza del caballo del sacrificio es el amanecer» (I, 1, 1). El presente párrafo se introduce para promover una meditación colectiva sobre ese caballo, que es Prajāpati, y sobre el fuego que ya ha quedado descrito (como tal) considerándose los dos como el resultado del sacrificio. Que esto es lo importante de esta sección, lo entendemos por el hecho de que en la anterior no se ha empleado ningún verbo que denote obligación, y es necesario uno. Las palabras «Quien así lo conoce, efectivamente conoce el sacrificio del caballo» significan: Solamente él, y nadie más, conoce el sacrificio del caballo, quien conoce al caballo y al arka o fuego, anteriormente descritos, como poseedores de las características, que más adelante se mencionarán, que aquí se indican colectivamente. Hay que conocer así el sacrificio del caballo, esto es su significado. ¿Cómo? En primer lugar, se está describiendo la meditación sobre el animal. Prajāpati, al desear sacrificar de nuevo con el gran sacrificio, se imaginó como el animal y, dejándolo permanecer libre o sin atar, reflexionó.</w:t>
      </w:r>
    </w:p>
    <w:p>
      <w:pPr>
        <w:spacing w:after="140" w:line="278" w:lineRule="auto"/>
        <w:ind w:firstLine="312"/>
      </w:pPr>
      <w:r>
        <w:rPr>
          <w:rFonts w:ascii="Noto Serif" w:hAnsi="Noto Serif" w:eastAsia="Noto Serif"/>
          <w:i w:val="0"/>
          <w:sz w:val="23"/>
        </w:rPr>
        <w:t>Después de un año completo, él se sacrificó a él mismo, es decir, como si lo dedicara al Prajāpati (Hiraṇyagarbha) y envió los (otros) animales, domésticos y salvajes, a los dioses, sus respectivas deidades. Y ya que Prajāpati reflexiona en estos términos, otros también deberían imaginarse, en la manera anteriormente descrita, el caballo del sacrificio, y meditar: Al santificarme (con los mantras), estoy dedicado a todos los dioses; pero mientras estoy siendo sacrificado, estoy dedicado a mí mismo. Los demás animales, domésticos y salvajes, se sacrifican a sus respectivas deidades, los otros dioses, que no son sino una parte de mí. Por consiguiente, los sacerdotes, incluso en la actualidad, igualmente sacrifican a Prajāpati, el caballo santificado que está dedicado a todos los dioses.</w:t>
      </w:r>
    </w:p>
    <w:p>
      <w:pPr>
        <w:spacing w:after="140" w:line="278" w:lineRule="auto"/>
        <w:ind w:firstLine="312"/>
      </w:pPr>
      <w:r>
        <w:rPr>
          <w:rFonts w:ascii="Noto Serif" w:hAnsi="Noto Serif" w:eastAsia="Noto Serif"/>
          <w:i w:val="0"/>
          <w:sz w:val="23"/>
        </w:rPr>
        <w:t>El que ahí brilla es el sacrificio del caballo. El sacrificio que así se realiza con ayuda del animal se está presentando directamente como el resultado. ¿Quién es él? El sol, que ilumina el universo con su luz. Su cuerpo, el cuerpo del sol, quien es el resultado del sacrificio, es el año, ese período de tiempo. El año se considera su cuerpo, puesto que por él está hecho. Ahora bien, ya que el sol, al igual que el sacrificio del caballo, se realiza con la ayuda del fuego, (este último también es el sol). Aquí, el resultado del sacrificio se cita como el propio sacrificio: Este fuego terrestre es arka, el objeto del sacrificio. Sus miembros, los miembros de este arka, el fuego que se enciende en el sacrificio, son estos tres mundos. Así ha quedado explicado en el pasaje «Su cabeza es el este» (I, 2, 3). Estos dos, fuego y sol, son arka y el sacrificio del caballo según fue anteriormente descrito, el sacrificio y su resultado, respectivamente. Arka, el fuego terrestre, es el sacrificio directamente, lo cual es un rito. Y como este último se realiza con la ayuda del fuego, aquí se representa como el fuego. Y el resultado se obtiene mediante la realización del sacrificio. Así que la afirmación de que el sol es el sacrificio del caballo, se representa como el sacrificio. Estos dos, el fuego y el sol, el medio y el fin, el sacrificio y su resultado, de nuevo se transforman en el mismo dios.</w:t>
      </w:r>
    </w:p>
    <w:p>
      <w:pPr>
        <w:spacing w:after="140" w:line="278" w:lineRule="auto"/>
        <w:ind w:firstLine="312"/>
      </w:pPr>
      <w:r>
        <w:rPr>
          <w:rFonts w:ascii="Noto Serif" w:hAnsi="Noto Serif" w:eastAsia="Noto Serif"/>
          <w:i w:val="0"/>
          <w:sz w:val="23"/>
        </w:rPr>
        <w:t>¿Quién es? Es la muerte. Antes no existía sino una deidad, quien más tarde se dividió en acción, su medio y su fin. Así se ha dicho: «Él se diferenciaba de tres maneras» (I, 2, 3). Y, después de terminar la ceremonia, vuelve a ser una única deidad, la muerte, el resultado de la ceremonia</w:t>
      </w:r>
      <w:r>
        <w:rPr>
          <w:rFonts w:ascii="Noto Serif" w:hAnsi="Noto Serif" w:eastAsia="Noto Serif"/>
          <w:i w:val="0"/>
          <w:sz w:val="17"/>
          <w:vertAlign w:val="superscript"/>
        </w:rPr>
        <w:t>6</w:t>
      </w:r>
      <w:r>
        <w:rPr>
          <w:rFonts w:ascii="Noto Serif" w:hAnsi="Noto Serif" w:eastAsia="Noto Serif"/>
          <w:i w:val="0"/>
          <w:sz w:val="23"/>
        </w:rPr>
        <w:t>. El que conoce esta única deidad, el sacrificio del caballo, o la muerte como: sólo yo soy la muerte, el caballo del sacrificio, y no hay sino una única deidad idéntica a mí y alcanzada a través del caballo y el fuego, conquista la otra muerte, es decir, después de morirse una vez, no nace para morir nunca más. Aunque esté conquistada, la muerte le podría sobrevenir otra vez. Y, así se dice, la muerte no le puede sobrevenir ¿Por qué? Porque ella se hace su ser, el ser del que lo conoce. Por otra parte, siendo la muerte el efecto, él se hace uno con estas deidades. A esto llega el que lo conoce.</w:t>
      </w:r>
    </w:p>
    <w:p>
      <w:pPr>
        <w:keepNext/>
        <w:spacing w:before="240" w:after="120"/>
      </w:pPr>
      <w:r>
        <w:rPr>
          <w:rFonts w:ascii="Noto Serif" w:hAnsi="Noto Serif" w:eastAsia="Noto Serif"/>
          <w:b/>
          <w:sz w:val="21"/>
        </w:rPr>
        <w:t>NOTAS</w:t>
      </w:r>
    </w:p>
    <w:p>
      <w:pPr>
        <w:spacing w:after="100" w:line="252" w:lineRule="auto"/>
        <w:ind w:left="283" w:hanging="227"/>
      </w:pPr>
      <w:r>
        <w:rPr>
          <w:rFonts w:ascii="Noto Serif" w:hAnsi="Noto Serif" w:eastAsia="Noto Serif"/>
          <w:b/>
          <w:sz w:val="18"/>
        </w:rPr>
        <w:t xml:space="preserve">3.  </w:t>
      </w:r>
      <w:r>
        <w:rPr>
          <w:rFonts w:ascii="Noto Serif" w:hAnsi="Noto Serif" w:eastAsia="Noto Serif"/>
          <w:sz w:val="18"/>
        </w:rPr>
        <w:t>«El que brilla» es literalmente Virāj. Se refiere a Brahman condicionado, es el Dios personal creador de todas las criaturas.</w:t>
      </w:r>
    </w:p>
    <w:p>
      <w:pPr>
        <w:spacing w:after="100" w:line="252" w:lineRule="auto"/>
        <w:ind w:left="283" w:hanging="227"/>
      </w:pPr>
      <w:r>
        <w:rPr>
          <w:rFonts w:ascii="Noto Serif" w:hAnsi="Noto Serif" w:eastAsia="Noto Serif"/>
          <w:b/>
          <w:sz w:val="18"/>
        </w:rPr>
        <w:t xml:space="preserve">4.  </w:t>
      </w:r>
      <w:r>
        <w:rPr>
          <w:rFonts w:ascii="Noto Serif" w:hAnsi="Noto Serif" w:eastAsia="Noto Serif"/>
          <w:sz w:val="18"/>
        </w:rPr>
        <w:t>Hiraṇyagarbha que da nombre a la Vida como primera manifestación de lo creado también se aplica para la muerte. Con ello entendemos que vida y muerte son los dos aspectos del mismo proceso vital.</w:t>
      </w:r>
    </w:p>
    <w:p>
      <w:pPr>
        <w:spacing w:after="100" w:line="252" w:lineRule="auto"/>
        <w:ind w:left="283" w:hanging="227"/>
      </w:pPr>
      <w:r>
        <w:rPr>
          <w:rFonts w:ascii="Noto Serif" w:hAnsi="Noto Serif" w:eastAsia="Noto Serif"/>
          <w:b/>
          <w:sz w:val="18"/>
        </w:rPr>
        <w:t xml:space="preserve">5.  </w:t>
      </w:r>
      <w:r>
        <w:rPr>
          <w:rFonts w:ascii="Noto Serif" w:hAnsi="Noto Serif" w:eastAsia="Noto Serif"/>
          <w:sz w:val="18"/>
        </w:rPr>
        <w:t>Aquello que se identifica con todo el universo manifestado podemos entenderlo como la mente cósmica o el Dios creador Saguṇa-Brahman, la deidad condicionada con atributos es una con todo lo conocido.</w:t>
      </w:r>
    </w:p>
    <w:p>
      <w:pPr>
        <w:spacing w:after="100" w:line="252" w:lineRule="auto"/>
        <w:ind w:left="283" w:hanging="227"/>
      </w:pPr>
      <w:r>
        <w:rPr>
          <w:rFonts w:ascii="Noto Serif" w:hAnsi="Noto Serif" w:eastAsia="Noto Serif"/>
          <w:b/>
          <w:sz w:val="18"/>
        </w:rPr>
        <w:t xml:space="preserve">6.  </w:t>
      </w:r>
      <w:r>
        <w:rPr>
          <w:rFonts w:ascii="Noto Serif" w:hAnsi="Noto Serif" w:eastAsia="Noto Serif"/>
          <w:sz w:val="18"/>
        </w:rPr>
        <w:t>Aquí la muerte (Aditi) y la vida (Hiraṇyagarbha) son una misma cosa. Y quien comprende que ambas son él mismo, quien no se siente un ser separado sino una misma cosa con la Vida total que es muerte total, ha trascendido su «yo», ilusorio, personal. A esto se denomina en este texto hacer el sacrificio del caballo. El yo individual y el universo entero son lo ofrecido en sacrificio como una muerte.</w:t>
      </w:r>
    </w:p>
    <w:p>
      <w:pPr>
        <w:keepNext/>
        <w:spacing w:before="280" w:after="100"/>
      </w:pPr>
      <w:r>
        <w:rPr>
          <w:rFonts w:ascii="Noto Serif" w:hAnsi="Noto Serif" w:eastAsia="Noto Serif"/>
          <w:b/>
          <w:sz w:val="21"/>
        </w:rPr>
        <w:t>NOTA EDITORIAL DE TRABAJO</w:t>
      </w:r>
    </w:p>
    <w:p>
      <w:pPr>
        <w:spacing w:after="80" w:line="259" w:lineRule="auto"/>
        <w:ind w:firstLine="0"/>
      </w:pPr>
      <w:r>
        <w:rPr>
          <w:rFonts w:ascii="Noto Serif" w:hAnsi="Noto Serif" w:eastAsia="Noto Serif"/>
          <w:i/>
          <w:sz w:val="19"/>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w:t>
      </w:r>
    </w:p>
    <w:p>
      <w:pPr>
        <w:spacing w:after="0"/>
        <w:ind w:firstLine="0"/>
      </w:pPr>
      <w:r>
        <w:rPr>
          <w:rFonts w:ascii="Noto Serif" w:hAnsi="Noto Serif" w:eastAsia="Noto Serif"/>
          <w:sz w:val="18"/>
        </w:rPr>
        <w:t>Fuente: Consuelo Martín (ed.), Gran Upanisad del Bosque. Brihadaranyaka Upanisad con los comentarios advaita de Sankara, Trotta, 2002, pp. 34-46.</w:t>
      </w:r>
    </w:p>
    <w:sectPr w:rsidR="00FC693F" w:rsidRPr="0006063C" w:rsidSect="00034616">
      <w:headerReference w:type="default" r:id="rId9"/>
      <w:footerReference w:type="default" r:id="rId10"/>
      <w:pgSz w:w="11906" w:h="16838"/>
      <w:pgMar w:top="1134" w:right="1276" w:bottom="1077" w:left="1276"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erif" w:hAnsi="Noto Serif" w:eastAsia="Noto Serif"/>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erif" w:hAnsi="Noto Serif" w:eastAsia="Noto Serif"/>
        <w:sz w:val="17"/>
      </w:rPr>
      <w:t>BṚHADĀRAṆYAKA UPANIṢAD · I.2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8" w:lineRule="auto" w:after="140"/>
      <w:ind w:firstLine="312"/>
    </w:pPr>
    <w:rPr>
      <w:rFonts w:ascii="Noto Serif" w:hAnsi="Noto Serif" w:eastAsia="Noto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erif" w:hAnsi="Noto Serif" w:eastAsia="Noto Serif"/>
      <w:b w:val="0"/>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erif" w:hAnsi="Noto Serif" w:eastAsia="Noto Serif"/>
      <w:b w:val="0"/>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w:hAnsi="Noto Serif" w:eastAsia="Noto Serif"/>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erif" w:hAnsi="Noto Serif" w:eastAsia="Noto Serif"/>
      <w:b w:val="0"/>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Bṛhadāraṇyaka Upaniṣad I.2 - El origen del universo</dc:title>
  <dc:subject>Edición de trabajo normalizada a partir de la edición de Consuelo Martín (Trotta, 2002)</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