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rFonts w:ascii="Noto Serif" w:hAnsi="Noto Serif" w:eastAsia="Noto Serif"/>
          <w:sz w:val="50"/>
        </w:rPr>
        <w:t>Bṛhadāraṇyaka Upaniṣad</w:t>
      </w:r>
    </w:p>
    <w:p>
      <w:pPr>
        <w:jc w:val="center"/>
      </w:pPr>
      <w:r>
        <w:rPr>
          <w:rFonts w:ascii="Noto Serif" w:hAnsi="Noto Serif" w:eastAsia="Noto Serif"/>
          <w:i/>
          <w:sz w:val="28"/>
        </w:rPr>
        <w:t>I.6 · Los tres aspectos de la realidad relativa</w:t>
      </w:r>
    </w:p>
    <w:p>
      <w:pPr>
        <w:spacing w:before="360"/>
        <w:jc w:val="center"/>
      </w:pPr>
      <w:r>
        <w:rPr>
          <w:rFonts w:ascii="Noto Serif" w:hAnsi="Noto Serif" w:eastAsia="Noto Serif"/>
          <w:sz w:val="23"/>
        </w:rPr>
        <w:t>Texto de la Upaniṣad y comentario de Śaṅkara</w:t>
      </w:r>
    </w:p>
    <w:p>
      <w:pPr>
        <w:jc w:val="center"/>
      </w:pPr>
      <w:r>
        <w:rPr>
          <w:rFonts w:ascii="Noto Serif" w:hAnsi="Noto Serif" w:eastAsia="Noto Serif"/>
          <w:sz w:val="21"/>
        </w:rPr>
        <w:t>Edición de Consuelo Martín · Trotta, 2002</w:t>
      </w:r>
    </w:p>
    <w:p>
      <w:pPr>
        <w:spacing w:before="1800"/>
        <w:jc w:val="center"/>
      </w:pPr>
      <w:r>
        <w:rPr>
          <w:rFonts w:ascii="Noto Serif" w:hAnsi="Noto Serif" w:eastAsia="Noto Serif"/>
          <w:i/>
          <w:sz w:val="21"/>
        </w:rPr>
        <w:t>Normalización de trabajo</w:t>
      </w:r>
    </w:p>
    <w:p>
      <w:r>
        <w:br w:type="page"/>
      </w:r>
    </w:p>
    <w:p>
      <w:pPr>
        <w:keepNext/>
        <w:spacing w:before="120" w:after="100"/>
        <w:jc w:val="center"/>
      </w:pPr>
      <w:r>
        <w:rPr>
          <w:rFonts w:ascii="Noto Serif" w:hAnsi="Noto Serif" w:eastAsia="Noto Serif"/>
          <w:sz w:val="22"/>
        </w:rPr>
        <w:t>PRIMER LIBRO · MADHU-KĀṆḌA</w:t>
      </w:r>
    </w:p>
    <w:p>
      <w:pPr>
        <w:keepNext/>
        <w:spacing w:before="220" w:after="100"/>
        <w:jc w:val="center"/>
      </w:pPr>
      <w:r>
        <w:rPr>
          <w:rFonts w:ascii="Noto Serif" w:hAnsi="Noto Serif" w:eastAsia="Noto Serif"/>
          <w:sz w:val="30"/>
        </w:rPr>
        <w:t>PRIMER ADHYĀYA</w:t>
      </w:r>
    </w:p>
    <w:p>
      <w:pPr>
        <w:keepNext/>
        <w:spacing w:before="120" w:after="100"/>
        <w:jc w:val="center"/>
      </w:pPr>
      <w:r>
        <w:rPr>
          <w:rFonts w:ascii="Noto Serif" w:hAnsi="Noto Serif" w:eastAsia="Noto Serif"/>
          <w:sz w:val="23"/>
        </w:rPr>
        <w:t>SEXTO BRĀHMAṆA</w:t>
      </w:r>
    </w:p>
    <w:p>
      <w:pPr>
        <w:keepNext/>
        <w:spacing w:before="220" w:after="100"/>
        <w:jc w:val="center"/>
      </w:pPr>
      <w:r>
        <w:rPr>
          <w:rFonts w:ascii="Noto Serif" w:hAnsi="Noto Serif" w:eastAsia="Noto Serif"/>
          <w:sz w:val="27"/>
        </w:rPr>
        <w:t>LOS TRES ASPECTOS DE LA REALIDAD RELATIVA</w:t>
      </w:r>
    </w:p>
    <w:p>
      <w:pPr>
        <w:keepLines/>
        <w:spacing w:before="160" w:after="220" w:line="288" w:lineRule="auto"/>
        <w:ind w:left="255" w:right="198" w:firstLine="0"/>
      </w:pPr>
      <w:r>
        <w:rPr>
          <w:rFonts w:ascii="Noto Serif" w:hAnsi="Noto Serif" w:eastAsia="Noto Serif"/>
          <w:i/>
          <w:sz w:val="24"/>
        </w:rPr>
        <w:t>1. El (universo) consta de tres elementos: nombre, forma y acción. El origen de esos nombres es la palabra</w:t>
      </w:r>
      <w:r>
        <w:rPr>
          <w:rFonts w:ascii="Noto Serif" w:hAnsi="Noto Serif" w:eastAsia="Noto Serif"/>
          <w:i w:val="0"/>
          <w:sz w:val="16"/>
          <w:vertAlign w:val="superscript"/>
        </w:rPr>
        <w:t>70</w:t>
      </w:r>
      <w:r>
        <w:rPr>
          <w:rFonts w:ascii="Noto Serif" w:hAnsi="Noto Serif" w:eastAsia="Noto Serif"/>
          <w:i/>
          <w:sz w:val="24"/>
        </w:rPr>
        <w:t xml:space="preserve"> porque todos los nombres surgen de ahí. Es su forma común por ser común a todos los nombres. Es su (Ser), Brahman, porque sostiene todos los nombres.</w:t>
      </w:r>
    </w:p>
    <w:p>
      <w:pPr>
        <w:spacing w:after="140" w:line="278" w:lineRule="auto"/>
        <w:ind w:firstLine="312"/>
      </w:pPr>
      <w:r>
        <w:rPr>
          <w:rFonts w:ascii="Noto Serif" w:hAnsi="Noto Serif" w:eastAsia="Noto Serif"/>
          <w:i w:val="0"/>
          <w:sz w:val="23"/>
        </w:rPr>
        <w:t xml:space="preserve">El universo diferenciado que consta de medios y fines se presentó como el tema de la ignorancia, con sus efectos que culminan en la identificación con la energía vital. Y se presentó también el estado anterior a la manifestación indicado por la palabra «indiferenciado», como un árbol y su simiente. Todo esto consta de tres cosas. ¿Cuáles son? Nombre, forma y acción. Todo ello es no-ser y no el Ser que es el Absoluto, inmediato y directo. Por lo tanto hay que alejarse de ello. Ésta es la enseñanza de esta sección. Aquel cuya mente no es contraria a este no-ser no siente inclinación a la meditación sobre el Ser, el mundo de uno mismo, como «Yo soy Brahman». Porque las dos tendencias, la que va hacia afuera y la que le hace dedicarse al Ser interior, son contradictorias. Comparar lo que sigue del </w:t>
      </w:r>
      <w:r>
        <w:rPr>
          <w:rFonts w:ascii="Noto Serif" w:hAnsi="Noto Serif" w:eastAsia="Noto Serif"/>
          <w:i w:val="0"/>
          <w:sz w:val="23"/>
        </w:rPr>
        <w:t>Katha Upanisad</w:t>
      </w:r>
      <w:r>
        <w:rPr>
          <w:rFonts w:ascii="Noto Serif" w:hAnsi="Noto Serif" w:eastAsia="Noto Serif"/>
          <w:i w:val="0"/>
          <w:sz w:val="23"/>
        </w:rPr>
        <w:t xml:space="preserve"> (1,2,1) «El Ser que existe por sí mismo, traspasó las puertas de los sentidos. Por eso vemos lo exterior y no lo interno, el propio Ser. Pero si algún ser humano tiene discernimiento y anhela la inmortalidad, volverá su mirada hacia dentro y contemplará el oculto Ser».</w:t>
      </w:r>
    </w:p>
    <w:p>
      <w:pPr>
        <w:spacing w:after="140" w:line="278" w:lineRule="auto"/>
        <w:ind w:firstLine="312"/>
      </w:pPr>
      <w:r>
        <w:rPr>
          <w:rFonts w:ascii="Noto Serif" w:hAnsi="Noto Serif" w:eastAsia="Noto Serif"/>
          <w:i w:val="0"/>
          <w:sz w:val="23"/>
        </w:rPr>
        <w:t xml:space="preserve">¿Cómo puede establecerse el hecho de que el diferenciado e indiferenciado universo integrado por las acciones, los actores y los efectos consiste sólo en nombre, forma y acción y no en el Ser? La respuesta es: De esos nombres expuestos (en el párrafo precedente) la palabra, el sonido en general, ya que se ha dicho: «Y cualquier clase de sonido no es sino el órgano de la palabra» (I, 5, 3), es el origen, </w:t>
      </w:r>
      <w:r>
        <w:rPr>
          <w:rFonts w:ascii="Noto Serif" w:hAnsi="Noto Serif" w:eastAsia="Noto Serif"/>
          <w:i w:val="0"/>
          <w:sz w:val="23"/>
        </w:rPr>
        <w:t>uktha</w:t>
      </w:r>
      <w:r>
        <w:rPr>
          <w:rFonts w:ascii="Noto Serif" w:hAnsi="Noto Serif" w:eastAsia="Noto Serif"/>
          <w:i w:val="0"/>
          <w:sz w:val="23"/>
        </w:rPr>
        <w:t>, la causa o el material de estos nombres particulares, así como la roca de sal está hecha de partículas de sal. Esto lo explica el texto. Porque en todos los nombres las determinaciones como Yajñadatta y Devadatta que surgen de ello son generalidades que surgen del nombre como las partículas de sal salen de la roca de sal. Y un efecto no está separado de su causa, por lo que las particulares están incluidas en lo general. ¿Cómo se aplica aquí la relación de lo general y lo particular? El sonido en general es su forma común (sman), llamado así porque es común a todos los nombres que son sus formas particulares. Otra razón es que los nombres particulares, derivándose de él (del general), no son diferentes a él. Y vemos que algo que se deriva de otra cosa no es diferente a ella, como una jarra por ejemplo no es diferente de la arcilla con que está hecha. ¿Cómo se derivan los nombres particulares de la palabra? Porque lo que se designa con el nombre «palabra» es su Ser, su Brahman, ya que los nombres derivan de la palabra, y no tienen realidad separados del sonido. Esto se demuestra porque el sonido en general sostiene todos los nombres o sonidos particulares dándoles realidad. Por su relación como causa y efecto, como general y particular, y como el que da realidad al otro, se demuestra que los nombres particulares son sólo sonidos. También en los siguientes dos párrafos se va a explicar lo que aquí se ha expuesto.</w:t>
      </w:r>
    </w:p>
    <w:p>
      <w:pPr>
        <w:keepLines/>
        <w:spacing w:before="160" w:after="220" w:line="288" w:lineRule="auto"/>
        <w:ind w:left="255" w:right="198" w:firstLine="0"/>
      </w:pPr>
      <w:r>
        <w:rPr>
          <w:rFonts w:ascii="Noto Serif" w:hAnsi="Noto Serif" w:eastAsia="Noto Serif"/>
          <w:i/>
          <w:sz w:val="24"/>
        </w:rPr>
        <w:t>2. Y entre las formas el ojo es el origen, porque todas las formas surgen de él. Es su forma común (sman), ya que es común a todas las formas. Es su Ser, Brahman, porque las sostiene a todas.</w:t>
      </w:r>
    </w:p>
    <w:p>
      <w:pPr>
        <w:spacing w:after="140" w:line="278" w:lineRule="auto"/>
        <w:ind w:firstLine="312"/>
      </w:pPr>
      <w:r>
        <w:rPr>
          <w:rFonts w:ascii="Noto Serif" w:hAnsi="Noto Serif" w:eastAsia="Noto Serif"/>
          <w:i w:val="0"/>
          <w:sz w:val="23"/>
        </w:rPr>
        <w:t>Y de las formas, blanco, negro, etc., el ojo, cualquier cosa que es perceptible al ojo, una forma en general, o cualquier cosa visible que aquí es designada por la palabra «ojo» (es el origen), porque todas las formas surgen de él.</w:t>
      </w:r>
    </w:p>
    <w:p>
      <w:pPr>
        <w:keepLines/>
        <w:spacing w:before="160" w:after="220" w:line="288" w:lineRule="auto"/>
        <w:ind w:left="255" w:right="198" w:firstLine="0"/>
      </w:pPr>
      <w:r>
        <w:rPr>
          <w:rFonts w:ascii="Noto Serif" w:hAnsi="Noto Serif" w:eastAsia="Noto Serif"/>
          <w:i/>
          <w:sz w:val="24"/>
        </w:rPr>
        <w:t>3. Y entre las actividades la que se llama «el cuerpo» es el origen, porque todas las acciones surgen de él. Es su forma común (sman), porque es común a todas las acciones. Es su Ser, Brahman, porque sostiene todas las obras.</w:t>
      </w:r>
    </w:p>
    <w:p>
      <w:pPr>
        <w:spacing w:after="140" w:line="278" w:lineRule="auto"/>
        <w:ind w:firstLine="312"/>
      </w:pPr>
      <w:r>
        <w:rPr>
          <w:rFonts w:ascii="Noto Serif" w:hAnsi="Noto Serif" w:eastAsia="Noto Serif"/>
          <w:i w:val="0"/>
          <w:sz w:val="23"/>
        </w:rPr>
        <w:t>Estos tres juntos son uno, un solo ser que aún siendo uno es los tres. La entidad inmortal está protegida por la realidad</w:t>
      </w:r>
      <w:r>
        <w:rPr>
          <w:rFonts w:ascii="Noto Serif" w:hAnsi="Noto Serif" w:eastAsia="Noto Serif"/>
          <w:i w:val="0"/>
          <w:sz w:val="16"/>
          <w:vertAlign w:val="superscript"/>
        </w:rPr>
        <w:t>71</w:t>
      </w:r>
      <w:r>
        <w:rPr>
          <w:rFonts w:ascii="Noto Serif" w:hAnsi="Noto Serif" w:eastAsia="Noto Serif"/>
          <w:i w:val="0"/>
          <w:sz w:val="23"/>
        </w:rPr>
        <w:t>. La energía vital es la entidad inmortal, y el nombre y la forma son la realidad, por lo tanto la energía vital está protegida por ellos.</w:t>
      </w:r>
    </w:p>
    <w:p>
      <w:pPr>
        <w:spacing w:after="140" w:line="278" w:lineRule="auto"/>
        <w:ind w:firstLine="312"/>
      </w:pPr>
      <w:r>
        <w:rPr>
          <w:rFonts w:ascii="Noto Serif" w:hAnsi="Noto Serif" w:eastAsia="Noto Serif"/>
          <w:i w:val="0"/>
          <w:sz w:val="23"/>
        </w:rPr>
        <w:t>Todas las acciones individuales que constan de pensamiento y percepción así como los movimientos están sintetizados en la actividad general. ¿Cómo? De todas las acciones particulares el cuerpo, es decir, la actividad en general, es el origen. A la actividad corporal se la llama aquí el «cuerpo», porque se ha dicho que se actúa a través de él. Y toda actividad se manifiesta en el cuerpo. Así pues, acción y actividad en general, al tener lugar en el cuerpo, están designadas por esa palabra. El resto ha de ser explicado como anteriormente. Estos tres: nombre, forma y acción descritos anteriormente, combinados juntos, son soportes uno de otro y causa de las manifestaciones recíprocas. Se funden el uno en el otro, como tres palos que se sujetasen entre sí. Y son uno. ¿De qué manera se unifican? Se expone así: El cuerpo es un conjunto de cuerpo y órganos. Se ha explicado bajo las tres clases de alimentos: «El cuerpo se identifica con el órgano de la palabra, la mente y la energía vital» (I, 5, 3). Todo el universo, tanto el diferenciado como el no diferenciado, es esto: «consiste en nombre, forma y acción». Y el cuerpo, aun siendo uno el conjunto de cuerpo y órganos, que existe en formas diferentes en sus aspectos corporales, los elementos y los dioses, no es sino estos tres: nombre, forma y acción. La entidad inmortal que ahora se menciona está encubierta por la realidad. Esta frase se explica así: La energía vital, que es de la naturaleza de un órgano, que soporta el cuerpo desde dentro, (y es un agregado limitante) del Ser, es la entidad inmortal. Y el nombre y la forma, representados por el cuerpo, su efecto, son la realidad. Por eso la energía vital, que es activa, soporta nombre y forma y está cubierta u oculta para ellos que son externos, formados por el cuerpo, sujetos a origen y destrucción y mortales. Así pues, se presenta la naturaleza del universo relativo, que es el tema de la ignorancia. Después de esto se ha de estudiar el tema del conocimiento de la verdad, el Ser. Y se hará en el capítulo segundo.</w:t>
      </w:r>
    </w:p>
    <w:p>
      <w:pPr>
        <w:keepNext/>
        <w:spacing w:before="240" w:after="120"/>
      </w:pPr>
      <w:r>
        <w:rPr>
          <w:rFonts w:ascii="Noto Serif" w:hAnsi="Noto Serif" w:eastAsia="Noto Serif"/>
          <w:b/>
          <w:sz w:val="21"/>
        </w:rPr>
        <w:t>NOTAS</w:t>
      </w:r>
    </w:p>
    <w:p>
      <w:pPr>
        <w:spacing w:after="100" w:line="252" w:lineRule="auto"/>
        <w:ind w:left="283" w:hanging="227"/>
      </w:pPr>
      <w:r>
        <w:rPr>
          <w:rFonts w:ascii="Noto Serif" w:hAnsi="Noto Serif" w:eastAsia="Noto Serif"/>
          <w:b/>
          <w:sz w:val="18"/>
        </w:rPr>
        <w:t xml:space="preserve">70.  </w:t>
      </w:r>
      <w:r>
        <w:rPr>
          <w:rFonts w:ascii="Noto Serif" w:hAnsi="Noto Serif" w:eastAsia="Noto Serif"/>
          <w:sz w:val="18"/>
        </w:rPr>
        <w:t>La palabra tiene un significado amplio que incluye no sólo el lenguaje sino también el sonido, tal como el comentario de Śaṅkara indica.</w:t>
      </w:r>
    </w:p>
    <w:p>
      <w:pPr>
        <w:spacing w:after="100" w:line="252" w:lineRule="auto"/>
        <w:ind w:left="283" w:hanging="227"/>
      </w:pPr>
      <w:r>
        <w:rPr>
          <w:rFonts w:ascii="Noto Serif" w:hAnsi="Noto Serif" w:eastAsia="Noto Serif"/>
          <w:b/>
          <w:sz w:val="18"/>
        </w:rPr>
        <w:t xml:space="preserve">71.  </w:t>
      </w:r>
      <w:r>
        <w:rPr>
          <w:rFonts w:ascii="Noto Serif" w:hAnsi="Noto Serif" w:eastAsia="Noto Serif"/>
          <w:sz w:val="18"/>
        </w:rPr>
        <w:t>La realidad relativa, es decir, lo que se considera la realidad a partir de la percepción sensorial y la interpretación mental.</w:t>
      </w:r>
    </w:p>
    <w:p>
      <w:pPr>
        <w:keepNext/>
        <w:spacing w:before="280" w:after="100"/>
      </w:pPr>
      <w:r>
        <w:rPr>
          <w:rFonts w:ascii="Noto Serif" w:hAnsi="Noto Serif" w:eastAsia="Noto Serif"/>
          <w:b/>
          <w:sz w:val="21"/>
        </w:rPr>
        <w:t>NOTA EDITORIAL DE TRABAJO</w:t>
      </w:r>
    </w:p>
    <w:p>
      <w:pPr>
        <w:spacing w:after="80" w:line="259" w:lineRule="auto"/>
        <w:ind w:firstLine="0"/>
      </w:pPr>
      <w:r>
        <w:rPr>
          <w:rFonts w:ascii="Noto Serif" w:hAnsi="Noto Serif" w:eastAsia="Noto Serif"/>
          <w:i/>
          <w:sz w:val="19"/>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spacing w:after="0"/>
        <w:ind w:firstLine="0"/>
      </w:pPr>
      <w:r>
        <w:rPr>
          <w:rFonts w:ascii="Noto Serif" w:hAnsi="Noto Serif" w:eastAsia="Noto Serif"/>
          <w:sz w:val="18"/>
        </w:rPr>
        <w:t>Fuente: Consuelo Martín (ed.), Gran Upanisad del Bosque. Brihadaranyaka Upanisad con los comentarios advaita de Sankara, Trotta, 2002, pp. 151-153.</w:t>
      </w:r>
    </w:p>
    <w:sectPr w:rsidR="00FC693F" w:rsidRPr="0006063C" w:rsidSect="00034616">
      <w:headerReference w:type="default" r:id="rId9"/>
      <w:footerReference w:type="default" r:id="rId10"/>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eastAsia="Noto Serif"/>
        <w:sz w:val="17"/>
      </w:rPr>
      <w:t>BṚHADĀRAṆYAKA UPANIṢAD · I.6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ind w:firstLine="312"/>
    </w:pPr>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val="0"/>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val="0"/>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I.6 · Los tres aspectos de la realidad relativa</dc:title>
  <dc:subject>Texto de la Upaniṣad y comentario de Śaṅkara, edición de Consuelo Martín</dc:subject>
  <dc:creator>Consuelo Martín (ed.) · normalización de trabajo</dc:creator>
  <cp:keywords/>
  <dc:description>generated by python-docx</dc:description>
  <cp:lastModifiedBy/>
  <cp:revision>1</cp:revision>
  <dcterms:created xsi:type="dcterms:W3CDTF">2013-12-23T23:15:00Z</dcterms:created>
  <dcterms:modified xsi:type="dcterms:W3CDTF">2013-12-23T23:15:00Z</dcterms:modified>
  <cp:category/>
</cp:coreProperties>
</file>